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6D" w:rsidRDefault="00AD456D" w:rsidP="00AD456D">
      <w:pPr>
        <w:rPr>
          <w:b/>
        </w:rPr>
      </w:pPr>
      <w:r w:rsidRPr="00AD456D">
        <w:rPr>
          <w:b/>
        </w:rPr>
        <w:t xml:space="preserve">1. melléklet </w:t>
      </w:r>
      <w:proofErr w:type="gramStart"/>
      <w:r w:rsidRPr="00AD456D">
        <w:rPr>
          <w:b/>
        </w:rPr>
        <w:t>a(</w:t>
      </w:r>
      <w:proofErr w:type="gramEnd"/>
      <w:r w:rsidRPr="00AD456D">
        <w:rPr>
          <w:b/>
        </w:rPr>
        <w:t>z) …./2014. (…..) MNB rendelethez</w:t>
      </w:r>
    </w:p>
    <w:p w:rsidR="00AD456D" w:rsidRPr="00AD456D" w:rsidRDefault="00AD456D" w:rsidP="00AD456D">
      <w:pPr>
        <w:rPr>
          <w:b/>
        </w:rPr>
      </w:pPr>
    </w:p>
    <w:p w:rsidR="00AD456D" w:rsidRPr="00AD456D" w:rsidRDefault="00AD456D" w:rsidP="00AD456D">
      <w:pPr>
        <w:rPr>
          <w:b/>
        </w:rPr>
      </w:pPr>
      <w:r w:rsidRPr="00AD456D">
        <w:rPr>
          <w:b/>
        </w:rPr>
        <w:t>Nyilatkozat a Magyar Nemzeti Bank előtti – elektronikus kapcsolattartással érintett – hatósági ügyben nem term</w:t>
      </w:r>
      <w:r w:rsidRPr="00AD456D">
        <w:rPr>
          <w:b/>
        </w:rPr>
        <w:t>é</w:t>
      </w:r>
      <w:r w:rsidRPr="00AD456D">
        <w:rPr>
          <w:b/>
        </w:rPr>
        <w:t>szetes személy által történő képviseletre</w:t>
      </w:r>
    </w:p>
    <w:p w:rsidR="00AD456D" w:rsidRDefault="00AD456D" w:rsidP="00AD456D">
      <w:proofErr w:type="gramStart"/>
      <w:r>
        <w:t>Alulírott(</w:t>
      </w:r>
      <w:proofErr w:type="spellStart"/>
      <w:proofErr w:type="gramEnd"/>
      <w:r>
        <w:t>ak</w:t>
      </w:r>
      <w:proofErr w:type="spellEnd"/>
      <w:r>
        <w:t xml:space="preserve">) mint a ……………………………………………… (cégjegyzékszám: …………, székhely:……………………………………..) (a továbbiakban: </w:t>
      </w:r>
      <w:r w:rsidRPr="00AD456D">
        <w:rPr>
          <w:b/>
        </w:rPr>
        <w:t>Meghatalmazó</w:t>
      </w:r>
      <w:r>
        <w:t>) cégjegyzésre jogosult képviselője (képviselői) a Magyar Nemzeti Bank (a továbbia</w:t>
      </w:r>
      <w:r>
        <w:t>k</w:t>
      </w:r>
      <w:r>
        <w:t xml:space="preserve">ban: </w:t>
      </w:r>
      <w:r w:rsidRPr="00AD456D">
        <w:rPr>
          <w:b/>
        </w:rPr>
        <w:t>MNB</w:t>
      </w:r>
      <w:r>
        <w:t xml:space="preserve">) részére az alábbi nyilatkozatot </w:t>
      </w:r>
      <w:proofErr w:type="gramStart"/>
      <w:r>
        <w:t>teszem(</w:t>
      </w:r>
      <w:proofErr w:type="gramEnd"/>
      <w:r>
        <w:t>tesszük).</w:t>
      </w:r>
    </w:p>
    <w:p w:rsidR="00AD456D" w:rsidRDefault="00AD456D" w:rsidP="00AD456D">
      <w:r>
        <w:t>1.</w:t>
      </w:r>
      <w:r>
        <w:tab/>
        <w:t xml:space="preserve">Meghatalmazom (meghatalmazzuk) </w:t>
      </w:r>
      <w:proofErr w:type="gramStart"/>
      <w:r>
        <w:t>a …</w:t>
      </w:r>
      <w:proofErr w:type="gramEnd"/>
      <w:r>
        <w:t>……………………………………………</w:t>
      </w:r>
      <w:proofErr w:type="spellStart"/>
      <w:r>
        <w:t>-t</w:t>
      </w:r>
      <w:proofErr w:type="spellEnd"/>
      <w:r>
        <w:t xml:space="preserve"> (cégjegyzékszám: …………, szé</w:t>
      </w:r>
      <w:r>
        <w:t>k</w:t>
      </w:r>
      <w:r>
        <w:t xml:space="preserve">hely:……………………………………..) (a továbbiakban: </w:t>
      </w:r>
      <w:r w:rsidRPr="00AD456D">
        <w:rPr>
          <w:b/>
        </w:rPr>
        <w:t>Meghatalmazott</w:t>
      </w:r>
      <w:r>
        <w:t>), hogy az MNB előtti – elektronikus kapcsolatta</w:t>
      </w:r>
      <w:r>
        <w:t>r</w:t>
      </w:r>
      <w:r>
        <w:t>tással érintett – hatósági ügyben a 2. és 3. pontban meghatározott feltételekkel a Meghatalmazó nevében és helye</w:t>
      </w:r>
      <w:r>
        <w:t>t</w:t>
      </w:r>
      <w:r>
        <w:t>te eljárjon.</w:t>
      </w:r>
    </w:p>
    <w:p w:rsidR="00AD456D" w:rsidRDefault="00C7575B" w:rsidP="00AD456D">
      <w:r>
        <w:rPr>
          <w:noProof/>
        </w:rPr>
        <mc:AlternateContent>
          <mc:Choice Requires="wps">
            <w:drawing>
              <wp:anchor distT="0" distB="0" distL="114300" distR="114300" simplePos="0" relativeHeight="251658240" behindDoc="0" locked="0" layoutInCell="1" allowOverlap="1">
                <wp:simplePos x="0" y="0"/>
                <wp:positionH relativeFrom="column">
                  <wp:posOffset>1652905</wp:posOffset>
                </wp:positionH>
                <wp:positionV relativeFrom="paragraph">
                  <wp:posOffset>447040</wp:posOffset>
                </wp:positionV>
                <wp:extent cx="2924175" cy="267335"/>
                <wp:effectExtent l="0" t="0" r="28575" b="184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7335"/>
                        </a:xfrm>
                        <a:prstGeom prst="rect">
                          <a:avLst/>
                        </a:prstGeom>
                        <a:solidFill>
                          <a:srgbClr val="FFFFFF"/>
                        </a:solidFill>
                        <a:ln w="9525">
                          <a:solidFill>
                            <a:srgbClr val="000000"/>
                          </a:solidFill>
                          <a:miter lim="800000"/>
                          <a:headEnd/>
                          <a:tailEnd/>
                        </a:ln>
                      </wps:spPr>
                      <wps:txbx>
                        <w:txbxContent>
                          <w:p w:rsidR="00D70656" w:rsidRDefault="00D70656" w:rsidP="00AD4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0.15pt;margin-top:35.2pt;width:230.2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">
                <v:textbox>
                  <w:txbxContent>
                    <w:p w:rsidR="00D70656" w:rsidRDefault="00D70656" w:rsidP="00AD456D"/>
                  </w:txbxContent>
                </v:textbox>
              </v:shape>
            </w:pict>
          </mc:Fallback>
        </mc:AlternateContent>
      </w:r>
      <w:r w:rsidR="00AD456D">
        <w:t>2.</w:t>
      </w:r>
      <w:r w:rsidR="00AD456D">
        <w:tab/>
        <w:t xml:space="preserve">A meghatalmazás az MNB előtti, alábbiakban felsorolt hatósági ügyekre (eljárásokra, bejelentésekre) </w:t>
      </w:r>
      <w:proofErr w:type="gramStart"/>
      <w:r w:rsidR="00AD456D">
        <w:t>vona</w:t>
      </w:r>
      <w:r w:rsidR="00AD456D">
        <w:t>t</w:t>
      </w:r>
      <w:r w:rsidR="00AD456D">
        <w:t>kozik</w:t>
      </w:r>
      <w:r w:rsidR="00AD456D" w:rsidRPr="00AD456D">
        <w:rPr>
          <w:rFonts w:cs="Times New Roman"/>
          <w:sz w:val="24"/>
          <w:szCs w:val="24"/>
          <w:vertAlign w:val="superscript"/>
        </w:rPr>
        <w:footnoteReference w:id="1"/>
      </w:r>
      <w:r w:rsidR="00AD456D">
        <w:t>:</w:t>
      </w:r>
      <w:proofErr w:type="gramEnd"/>
      <w:r w:rsidR="00AD456D">
        <w:t xml:space="preserve"> </w:t>
      </w:r>
    </w:p>
    <w:p w:rsidR="00AD456D" w:rsidRDefault="00AD456D" w:rsidP="00AD456D">
      <w:r>
        <w:t>2.1.</w:t>
      </w:r>
      <w:r>
        <w:tab/>
        <w:t xml:space="preserve">Konkrét ügy esetén: </w:t>
      </w:r>
    </w:p>
    <w:p w:rsidR="00AD456D" w:rsidRDefault="00AD456D" w:rsidP="00AD456D"/>
    <w:p w:rsidR="00AD456D" w:rsidRDefault="00AD456D" w:rsidP="00AD456D">
      <w:r>
        <w:t>2.2.</w:t>
      </w:r>
      <w:r>
        <w:tab/>
        <w:t>Egyéb esetben</w:t>
      </w:r>
      <w:r>
        <w:tab/>
        <w:t>…</w:t>
      </w:r>
      <w:proofErr w:type="gramStart"/>
      <w:r>
        <w:t>………………………………………………</w:t>
      </w:r>
      <w:proofErr w:type="gramEnd"/>
    </w:p>
    <w:p w:rsidR="00AD456D" w:rsidRDefault="00AD456D" w:rsidP="00AD456D">
      <w:pPr>
        <w:ind w:left="1418" w:firstLine="709"/>
      </w:pPr>
      <w:r>
        <w:t>…………………………………………………</w:t>
      </w:r>
    </w:p>
    <w:p w:rsidR="00AD456D" w:rsidRDefault="00AD456D" w:rsidP="00AD456D">
      <w:pPr>
        <w:ind w:left="1418" w:firstLine="709"/>
      </w:pPr>
      <w:r>
        <w:t>…………………………………………………</w:t>
      </w:r>
    </w:p>
    <w:p w:rsidR="00AD456D" w:rsidRDefault="00AD456D" w:rsidP="00AD456D">
      <w:pPr>
        <w:ind w:left="1418" w:firstLine="709"/>
      </w:pPr>
      <w:r>
        <w:t>…………………………………………………</w:t>
      </w:r>
    </w:p>
    <w:p w:rsidR="00AD456D" w:rsidRDefault="00AD456D" w:rsidP="00AD456D"/>
    <w:p w:rsidR="00AD456D" w:rsidRDefault="00AD456D" w:rsidP="00AD456D">
      <w:r>
        <w:t>3.</w:t>
      </w:r>
      <w:r>
        <w:tab/>
        <w:t xml:space="preserve">A Meghatalmazás a 2. pontban felsorolt hatósági ügyek tekintetében </w:t>
      </w:r>
    </w:p>
    <w:p w:rsidR="00AD456D" w:rsidRDefault="00AD456D" w:rsidP="00AD456D">
      <w:r>
        <w:t>3.1.</w:t>
      </w:r>
      <w:r>
        <w:tab/>
        <w:t>kiterjed az elektronikus űrlap aláírására;</w:t>
      </w:r>
    </w:p>
    <w:p w:rsidR="00AD456D" w:rsidRDefault="00AD456D" w:rsidP="00AD456D">
      <w:r>
        <w:t>3.2.</w:t>
      </w:r>
      <w:r>
        <w:tab/>
        <w:t>kiterjed az elektronikus űrlap és mellékleteinek MNB</w:t>
      </w:r>
      <w:r w:rsidR="000F1771">
        <w:t>-hez történő elektronikus (üzem</w:t>
      </w:r>
      <w:r>
        <w:t>zavar esetében az arra vonatkozó szabályok szerinti) benyújtására;</w:t>
      </w:r>
    </w:p>
    <w:p w:rsidR="00AD456D" w:rsidRDefault="00AD456D" w:rsidP="00AD456D">
      <w:r>
        <w:t>3.3.</w:t>
      </w:r>
      <w:r>
        <w:tab/>
        <w:t xml:space="preserve">az MNB által elektronikusan aláírt és a Meghatalmazónak címzett iratoknak az MNB által a Meghatalmazott részére biztosított kézbesítési tárhelyen (továbbiakban: </w:t>
      </w:r>
      <w:proofErr w:type="spellStart"/>
      <w:r>
        <w:t>ERA</w:t>
      </w:r>
      <w:proofErr w:type="spellEnd"/>
      <w:r>
        <w:t xml:space="preserve"> postaláda) történő fogadására</w:t>
      </w:r>
      <w:r w:rsidRPr="00AD456D">
        <w:rPr>
          <w:rFonts w:cs="Times New Roman"/>
          <w:sz w:val="24"/>
          <w:szCs w:val="24"/>
          <w:vertAlign w:val="superscript"/>
        </w:rPr>
        <w:footnoteReference w:id="2"/>
      </w:r>
      <w:r>
        <w:t xml:space="preserve"> </w:t>
      </w:r>
    </w:p>
    <w:p w:rsidR="00AD456D" w:rsidRDefault="00AD456D" w:rsidP="00AD456D">
      <w:r>
        <w:t>3.3.1.</w:t>
      </w:r>
      <w:r>
        <w:tab/>
      </w:r>
      <w:r w:rsidR="000F1771">
        <w:rPr>
          <w:sz w:val="24"/>
          <w:szCs w:val="24"/>
        </w:rPr>
        <w:sym w:font="Symbol" w:char="007F"/>
      </w:r>
      <w:r w:rsidR="000F1771">
        <w:rPr>
          <w:sz w:val="24"/>
          <w:szCs w:val="24"/>
        </w:rPr>
        <w:t xml:space="preserve"> </w:t>
      </w:r>
      <w:r w:rsidR="000F1771" w:rsidRPr="000F1771">
        <w:t>kiterjed</w:t>
      </w:r>
      <w:r>
        <w:t>;</w:t>
      </w:r>
    </w:p>
    <w:p w:rsidR="00AD456D" w:rsidRDefault="00AD456D" w:rsidP="00AD456D">
      <w:r>
        <w:t>3.3.2.</w:t>
      </w:r>
      <w:r>
        <w:tab/>
      </w:r>
      <w:r w:rsidR="000F1771">
        <w:rPr>
          <w:sz w:val="24"/>
          <w:szCs w:val="24"/>
        </w:rPr>
        <w:sym w:font="Symbol" w:char="007F"/>
      </w:r>
      <w:r>
        <w:t xml:space="preserve"> nem terjed ki;</w:t>
      </w:r>
    </w:p>
    <w:p w:rsidR="00AD456D" w:rsidRDefault="00AD456D" w:rsidP="00AD456D">
      <w:r>
        <w:t>3.4.</w:t>
      </w:r>
      <w:r>
        <w:tab/>
        <w:t>kiterjed a hatósági ügyintézés során a Meghatalma</w:t>
      </w:r>
      <w:r w:rsidR="000F1771">
        <w:t>zott tudomására kerülő, a Megha</w:t>
      </w:r>
      <w:r>
        <w:t>talmazóval kapcsolatos személyes adatok és törvény által védett adatok kezelésére.</w:t>
      </w:r>
    </w:p>
    <w:p w:rsidR="00AD456D" w:rsidRDefault="00AD456D" w:rsidP="00AD456D">
      <w:r>
        <w:lastRenderedPageBreak/>
        <w:t>4.</w:t>
      </w:r>
      <w:r>
        <w:tab/>
        <w:t>Tudomásul veszem (vesszük), hogy amennyiben a Meghatalmazás a 3.3.1 pontban tett kézbesítési rendelk</w:t>
      </w:r>
      <w:r>
        <w:t>e</w:t>
      </w:r>
      <w:r>
        <w:t xml:space="preserve">zés szerint kiterjed az </w:t>
      </w:r>
      <w:proofErr w:type="spellStart"/>
      <w:r>
        <w:t>ERA</w:t>
      </w:r>
      <w:proofErr w:type="spellEnd"/>
      <w:r>
        <w:t xml:space="preserve"> postaládában a Meghatalmazott részére küldött iratok fogadására, a közigazgatási hatós</w:t>
      </w:r>
      <w:r>
        <w:t>á</w:t>
      </w:r>
      <w:r>
        <w:t xml:space="preserve">gi eljárás és szolgáltatás általános szabályairól szóló 2004. évi </w:t>
      </w:r>
      <w:proofErr w:type="spellStart"/>
      <w:r>
        <w:t>CXL</w:t>
      </w:r>
      <w:proofErr w:type="spellEnd"/>
      <w:r>
        <w:t>. törvény 40. § (7) bekezdésében foglaltakra figy</w:t>
      </w:r>
      <w:r>
        <w:t>e</w:t>
      </w:r>
      <w:r>
        <w:t xml:space="preserve">lemmel az MNB az iratot kizárólag a Meghatalmazott részére kézbesíti annak saját </w:t>
      </w:r>
      <w:proofErr w:type="spellStart"/>
      <w:r>
        <w:t>ERA</w:t>
      </w:r>
      <w:proofErr w:type="spellEnd"/>
      <w:r>
        <w:t xml:space="preserve"> postaládájába, a Meghata</w:t>
      </w:r>
      <w:r>
        <w:t>l</w:t>
      </w:r>
      <w:r>
        <w:t>mazó részére azt nem küldi meg.</w:t>
      </w:r>
    </w:p>
    <w:p w:rsidR="00AD456D" w:rsidRDefault="00AD456D" w:rsidP="00AD456D">
      <w:r>
        <w:t>5.</w:t>
      </w:r>
      <w:r>
        <w:tab/>
        <w:t>Tudomásul veszem (vesszük), hogy ha az irat MNB ált</w:t>
      </w:r>
      <w:r w:rsidR="00C7575B">
        <w:t xml:space="preserve">al a Meghatalmazott </w:t>
      </w:r>
      <w:proofErr w:type="spellStart"/>
      <w:r w:rsidR="00C7575B">
        <w:t>ERA</w:t>
      </w:r>
      <w:proofErr w:type="spellEnd"/>
      <w:r w:rsidR="00C7575B">
        <w:t xml:space="preserve"> postalá</w:t>
      </w:r>
      <w:r>
        <w:t>dájában történt elh</w:t>
      </w:r>
      <w:r>
        <w:t>e</w:t>
      </w:r>
      <w:r>
        <w:t xml:space="preserve">lyezését követően a Meghatalmazott az iratot nyolc napon belül nem veszi át, az iratot az </w:t>
      </w:r>
      <w:proofErr w:type="spellStart"/>
      <w:r>
        <w:t>ERA</w:t>
      </w:r>
      <w:proofErr w:type="spellEnd"/>
      <w:r>
        <w:t xml:space="preserve"> postaládán történt elhelyezését követő kilencedik napon kézbesítettnek kell tekinteni. </w:t>
      </w:r>
    </w:p>
    <w:p w:rsidR="00AD456D" w:rsidRDefault="00AD456D" w:rsidP="00AD456D">
      <w:r>
        <w:t>6.</w:t>
      </w:r>
      <w:r>
        <w:tab/>
        <w:t>Jelen meghatalmazás annak aláírásától visszavonásig/</w:t>
      </w:r>
      <w:proofErr w:type="gramStart"/>
      <w:r>
        <w:t>……</w:t>
      </w:r>
      <w:proofErr w:type="spellStart"/>
      <w:proofErr w:type="gramEnd"/>
      <w:r>
        <w:t>-ig</w:t>
      </w:r>
      <w:proofErr w:type="spellEnd"/>
      <w:r>
        <w:t xml:space="preserve"> érvényes. Meghatalmazó a meghatalmazás visszavonásáról írásban értesíti az MN</w:t>
      </w:r>
      <w:r w:rsidR="00C7575B">
        <w:t>B-t. A meghatalmazás visszavoná</w:t>
      </w:r>
      <w:r>
        <w:t>sa az erről való írásbeli értesítés hiányában az MNB irányában nem hatályos és az MNB az ebből származó károkért nem felelős.</w:t>
      </w:r>
    </w:p>
    <w:p w:rsidR="00AD456D" w:rsidRDefault="00AD456D" w:rsidP="00AD456D"/>
    <w:p w:rsidR="00AD456D" w:rsidRDefault="00AD456D" w:rsidP="00AD456D">
      <w:r>
        <w:t>Kelt:</w:t>
      </w:r>
    </w:p>
    <w:p w:rsidR="00AD456D" w:rsidRDefault="00AD456D" w:rsidP="00AD456D"/>
    <w:p w:rsidR="00AD456D" w:rsidRDefault="00AD456D" w:rsidP="00AD456D"/>
    <w:p w:rsidR="00AD456D" w:rsidRDefault="00AD456D" w:rsidP="00AD456D">
      <w:r>
        <w:t>……………………………………</w:t>
      </w:r>
      <w:r>
        <w:tab/>
      </w:r>
      <w:r>
        <w:tab/>
      </w:r>
      <w:r>
        <w:tab/>
      </w:r>
      <w:r>
        <w:tab/>
        <w:t xml:space="preserve">………………………………… </w:t>
      </w:r>
    </w:p>
    <w:p w:rsidR="00AD456D" w:rsidRDefault="00AD456D" w:rsidP="00AD456D">
      <w:proofErr w:type="gramStart"/>
      <w:r>
        <w:t>cégszerű</w:t>
      </w:r>
      <w:proofErr w:type="gramEnd"/>
      <w:r>
        <w:t xml:space="preserve"> aláírás helye</w:t>
      </w:r>
      <w:r>
        <w:tab/>
      </w:r>
      <w:r>
        <w:tab/>
      </w:r>
      <w:r>
        <w:tab/>
      </w:r>
      <w:r w:rsidR="00C7575B">
        <w:tab/>
      </w:r>
      <w:r>
        <w:t>cégszerű aláírás helye</w:t>
      </w:r>
    </w:p>
    <w:p w:rsidR="00E52DE8" w:rsidRDefault="00E52DE8">
      <w:pPr>
        <w:spacing w:after="0" w:line="240" w:lineRule="auto"/>
        <w:jc w:val="left"/>
      </w:pPr>
    </w:p>
    <w:p w:rsidR="00E52DE8" w:rsidRDefault="00E52DE8">
      <w:pPr>
        <w:spacing w:after="0" w:line="240" w:lineRule="auto"/>
        <w:jc w:val="left"/>
      </w:pPr>
      <w:r>
        <w:br w:type="page"/>
      </w:r>
    </w:p>
    <w:p w:rsidR="00E52DE8" w:rsidRDefault="00E52DE8">
      <w:pPr>
        <w:spacing w:after="0" w:line="240" w:lineRule="auto"/>
        <w:jc w:val="left"/>
      </w:pPr>
      <w:r>
        <w:lastRenderedPageBreak/>
        <w:t>Melléklet:</w:t>
      </w:r>
    </w:p>
    <w:p w:rsidR="00E52DE8" w:rsidRDefault="00E52DE8">
      <w:pPr>
        <w:spacing w:after="0" w:line="240" w:lineRule="auto"/>
        <w:jc w:val="left"/>
      </w:pPr>
    </w:p>
    <w:p w:rsidR="00E52DE8" w:rsidRDefault="00E52DE8">
      <w:pPr>
        <w:spacing w:after="0" w:line="240" w:lineRule="auto"/>
        <w:jc w:val="left"/>
      </w:pPr>
    </w:p>
    <w:p w:rsidR="00E52DE8" w:rsidRDefault="00E52DE8">
      <w:pPr>
        <w:spacing w:after="0" w:line="240" w:lineRule="auto"/>
        <w:jc w:val="left"/>
      </w:pPr>
    </w:p>
    <w:tbl>
      <w:tblPr>
        <w:tblW w:w="0" w:type="auto"/>
        <w:tblInd w:w="65" w:type="dxa"/>
        <w:tblCellMar>
          <w:left w:w="70" w:type="dxa"/>
          <w:right w:w="70" w:type="dxa"/>
        </w:tblCellMar>
        <w:tblLook w:val="04A0" w:firstRow="1" w:lastRow="0" w:firstColumn="1" w:lastColumn="0" w:noHBand="0" w:noVBand="1"/>
      </w:tblPr>
      <w:tblGrid>
        <w:gridCol w:w="1097"/>
        <w:gridCol w:w="6336"/>
        <w:gridCol w:w="2166"/>
      </w:tblGrid>
      <w:tr w:rsidR="00E52DE8" w:rsidRPr="00140995" w:rsidTr="004C0741">
        <w:trPr>
          <w:trHeight w:val="7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0741" w:rsidRDefault="00E52DE8" w:rsidP="004C0741">
            <w:pPr>
              <w:spacing w:after="0" w:line="240" w:lineRule="auto"/>
              <w:jc w:val="center"/>
              <w:rPr>
                <w:b/>
                <w:bCs/>
                <w:color w:val="000000"/>
              </w:rPr>
            </w:pPr>
            <w:r w:rsidRPr="00CB4FF2">
              <w:rPr>
                <w:b/>
                <w:bCs/>
                <w:color w:val="000000"/>
              </w:rPr>
              <w:t xml:space="preserve">Űrlap </w:t>
            </w:r>
          </w:p>
          <w:p w:rsidR="00E52DE8" w:rsidRPr="00140995" w:rsidRDefault="00E52DE8" w:rsidP="004C0741">
            <w:pPr>
              <w:spacing w:after="0" w:line="240" w:lineRule="auto"/>
              <w:jc w:val="center"/>
            </w:pPr>
            <w:r w:rsidRPr="00CB4FF2">
              <w:rPr>
                <w:b/>
                <w:bCs/>
                <w:color w:val="000000"/>
              </w:rPr>
              <w:t>azonosítója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52DE8" w:rsidRPr="00140995" w:rsidRDefault="00E52DE8" w:rsidP="004C0741">
            <w:pPr>
              <w:spacing w:after="0" w:line="240" w:lineRule="auto"/>
              <w:jc w:val="center"/>
            </w:pPr>
            <w:r w:rsidRPr="00A861A7">
              <w:rPr>
                <w:b/>
                <w:bCs/>
                <w:color w:val="000000"/>
              </w:rPr>
              <w:t>Űrlap megnevezése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2DE8" w:rsidRPr="00140995" w:rsidRDefault="00D70656" w:rsidP="004C0741">
            <w:pPr>
              <w:spacing w:after="0" w:line="240" w:lineRule="auto"/>
              <w:jc w:val="center"/>
            </w:pPr>
            <w:r>
              <w:rPr>
                <w:b/>
                <w:bCs/>
                <w:color w:val="000000"/>
              </w:rPr>
              <w:t>a 18/2014. (VI.3.</w:t>
            </w:r>
            <w:r w:rsidR="00E52DE8">
              <w:rPr>
                <w:b/>
                <w:bCs/>
                <w:color w:val="000000"/>
              </w:rPr>
              <w:t>) MNB r</w:t>
            </w:r>
            <w:r w:rsidR="00E52DE8" w:rsidRPr="00A861A7">
              <w:rPr>
                <w:b/>
                <w:bCs/>
                <w:color w:val="000000"/>
              </w:rPr>
              <w:t>endelet mellékle</w:t>
            </w:r>
            <w:r w:rsidR="00E52DE8">
              <w:rPr>
                <w:b/>
                <w:bCs/>
                <w:color w:val="000000"/>
              </w:rPr>
              <w:t>tének száma</w:t>
            </w:r>
            <w:r w:rsidR="00E52DE8" w:rsidRPr="00A861A7">
              <w:rPr>
                <w:b/>
                <w:bCs/>
                <w:color w:val="000000"/>
              </w:rPr>
              <w:t>, amelyben az űrlap található</w:t>
            </w:r>
          </w:p>
        </w:tc>
      </w:tr>
      <w:tr w:rsidR="004C0741" w:rsidRPr="00140995" w:rsidTr="004C0741">
        <w:trPr>
          <w:trHeight w:val="141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2</w:t>
            </w:r>
            <w:r w:rsidRPr="00140995">
              <w:t xml:space="preserve">.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17. § (1) bekezdésében foglalt - az értékpapír zártkörű forgalomba hozatalára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w:t>
            </w:r>
            <w:r w:rsidRPr="00140995">
              <w:t>. melléklet</w:t>
            </w:r>
          </w:p>
        </w:tc>
      </w:tr>
      <w:tr w:rsidR="004C0741" w:rsidRPr="00140995" w:rsidTr="004C0741">
        <w:trPr>
          <w:trHeight w:val="155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3.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21. § (3) bekezdésében foglalt - forgalomba hozott értékpapírokra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3. melléklet</w:t>
            </w:r>
          </w:p>
        </w:tc>
      </w:tr>
      <w:tr w:rsidR="004C0741" w:rsidRPr="00140995" w:rsidTr="004C0741">
        <w:trPr>
          <w:trHeight w:val="139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22. § (3) bekezdésében foglalt - az értékesíteni, illetve juttatni kívánt értékpapírok számával és jellegével, valamint az értékesítés, illetőleg jutt</w:t>
            </w:r>
            <w:r>
              <w:t>a</w:t>
            </w:r>
            <w:r>
              <w:t>tás indokaival és részleteivel kapcsolatos információkra vonatkozó - bejele</w:t>
            </w:r>
            <w:r>
              <w:t>n</w:t>
            </w:r>
            <w:r>
              <w:t>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 melléklet</w:t>
            </w:r>
          </w:p>
        </w:tc>
      </w:tr>
      <w:tr w:rsidR="004C0741" w:rsidRPr="00140995" w:rsidTr="004C0741">
        <w:trPr>
          <w:trHeight w:val="155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27. § (3) bekezdésében foglalt - a kibocsátott értékpapír végleges ajánlati árára, illetőleg a felajánlott értékpapír mennyiségre vonatkozó - információk bejelentésének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 melléklet</w:t>
            </w:r>
          </w:p>
        </w:tc>
      </w:tr>
      <w:tr w:rsidR="004C0741" w:rsidRPr="00140995" w:rsidTr="004C0741">
        <w:trPr>
          <w:trHeight w:val="153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27. § (6) </w:t>
            </w:r>
            <w:bookmarkStart w:id="0" w:name="_GoBack"/>
            <w:bookmarkEnd w:id="0"/>
            <w:r>
              <w:t>bekezdésében foglalt - a forgalomba hozatal végleges felté</w:t>
            </w:r>
            <w:r>
              <w:t>t</w:t>
            </w:r>
            <w:r>
              <w:t>eleire vonatkozó - információk bejelentésének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 melléklet</w:t>
            </w:r>
          </w:p>
        </w:tc>
      </w:tr>
      <w:tr w:rsidR="004C0741" w:rsidRPr="00140995" w:rsidTr="004C0741">
        <w:trPr>
          <w:trHeight w:val="155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34. § (3) bekezdés c) pontjában foglalt - a tájékoztatóban szereplő egyes adatok MNB-hez történő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 melléklet</w:t>
            </w:r>
          </w:p>
        </w:tc>
      </w:tr>
      <w:tr w:rsidR="004C0741" w:rsidRPr="00140995" w:rsidTr="004C0741">
        <w:trPr>
          <w:trHeight w:val="12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35. § (5) bekezdésében foglalt - a kereskedelmi kommunikációra v</w:t>
            </w:r>
            <w:r>
              <w:t>o</w:t>
            </w:r>
            <w:r>
              <w:t>natkozó - bejelentési kötelezettség teljesítéséhez</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 melléklet</w:t>
            </w:r>
          </w:p>
        </w:tc>
      </w:tr>
      <w:tr w:rsidR="004C0741" w:rsidRPr="00140995" w:rsidTr="004C0741">
        <w:trPr>
          <w:trHeight w:val="128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44. § (2) bekezdésében foglalt - az ismertető előzetes benyújtására vonatkozó - benyújtási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 melléklet</w:t>
            </w:r>
          </w:p>
        </w:tc>
      </w:tr>
      <w:tr w:rsidR="004C0741" w:rsidRPr="00140995" w:rsidTr="004C0741">
        <w:trPr>
          <w:trHeight w:val="168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10.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44. § (5) bekezdésén alapuló - az értékpapírban foglalt jogok vagy a nyilvános forgalomba hozatalhoz készített ismertető tartalmának megvá</w:t>
            </w:r>
            <w:r>
              <w:t>l</w:t>
            </w:r>
            <w:r>
              <w:t>toztatására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 melléklet</w:t>
            </w:r>
          </w:p>
        </w:tc>
      </w:tr>
      <w:tr w:rsidR="004C0741" w:rsidRPr="00140995" w:rsidTr="004C0741">
        <w:trPr>
          <w:trHeight w:val="126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45. § (2) bekezdésében foglalt - a hitelintézet által kibocsátott, hitelv</w:t>
            </w:r>
            <w:r>
              <w:t>i</w:t>
            </w:r>
            <w:r>
              <w:t>szonyt megtestesítő értékpapír nyilvános forgalomba hozatalához, illet</w:t>
            </w:r>
            <w:r>
              <w:t>ő</w:t>
            </w:r>
            <w:r>
              <w:t>leg szabályozott piacra történő bevezetéséhez készült ismertető egyes ad</w:t>
            </w:r>
            <w:r>
              <w:t>a</w:t>
            </w:r>
            <w:r>
              <w:t>taira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 melléklet</w:t>
            </w:r>
          </w:p>
        </w:tc>
      </w:tr>
      <w:tr w:rsidR="004C0741" w:rsidRPr="00140995" w:rsidTr="004C0741">
        <w:trPr>
          <w:trHeight w:val="154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48. § (4) és 56. § (4) bekezdésében, valamint a </w:t>
            </w:r>
            <w:proofErr w:type="spellStart"/>
            <w:r>
              <w:t>PM</w:t>
            </w:r>
            <w:proofErr w:type="spellEnd"/>
            <w:r>
              <w:t xml:space="preserve"> rendelet 4. mellé</w:t>
            </w:r>
            <w:r>
              <w:t>k</w:t>
            </w:r>
            <w:r>
              <w:t>let 1.2. pontjában foglalt − értékpapír forgalomba hozatala eredményére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 melléklet</w:t>
            </w:r>
          </w:p>
        </w:tc>
      </w:tr>
      <w:tr w:rsidR="004C0741" w:rsidRPr="00140995" w:rsidTr="004C0741">
        <w:trPr>
          <w:trHeight w:val="140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13.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55. § (2) bekezdésében foglalt − a Tpt. 61. §</w:t>
            </w:r>
            <w:proofErr w:type="spellStart"/>
            <w:r>
              <w:t>-a</w:t>
            </w:r>
            <w:proofErr w:type="spellEnd"/>
            <w:r>
              <w:t xml:space="preserve"> szerinti, szavazati jogot biztosító részvény, illetve szavazati jog megszerzéséről vagy elidegenítéséről a kibocsátóhoz érkező tájékoztatással kapcsolatos – bejelentési kötelezet</w:t>
            </w:r>
            <w:r>
              <w:t>t</w:t>
            </w:r>
            <w:r>
              <w: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13. melléklet</w:t>
            </w:r>
          </w:p>
        </w:tc>
      </w:tr>
      <w:tr w:rsidR="004C0741" w:rsidRPr="00140995" w:rsidTr="004C0741">
        <w:trPr>
          <w:trHeight w:val="155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14.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56. § (4) bekezdésében és a </w:t>
            </w:r>
            <w:proofErr w:type="spellStart"/>
            <w:r>
              <w:t>PM</w:t>
            </w:r>
            <w:proofErr w:type="spellEnd"/>
            <w:r>
              <w:t xml:space="preserve"> rendelet 4. melléklet 1.17. pontjában foglalt – a kibocsátó elérhetőségére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14. melléklet</w:t>
            </w:r>
          </w:p>
        </w:tc>
      </w:tr>
      <w:tr w:rsidR="004C0741" w:rsidRPr="00140995" w:rsidTr="004C0741">
        <w:trPr>
          <w:trHeight w:val="126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15.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56. § (4) bekezdésében és a </w:t>
            </w:r>
            <w:proofErr w:type="spellStart"/>
            <w:r>
              <w:t>PM</w:t>
            </w:r>
            <w:proofErr w:type="spellEnd"/>
            <w:r>
              <w:t xml:space="preserve"> rendelet 4. melléklet 2.5. pontjában foglalt − a kibocsátó vezető állású személyeiben bekövetkezett változással és az újonnan megválasztott vezetőnek a kibocsátó bármely értékpapírjából tulajdonában lévő mennyiséggel kapcsolatos−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15. melléklet</w:t>
            </w:r>
          </w:p>
        </w:tc>
      </w:tr>
      <w:tr w:rsidR="004C0741" w:rsidRPr="00140995" w:rsidTr="004C0741">
        <w:trPr>
          <w:trHeight w:val="111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16.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56. § (4) bekezdésében és a </w:t>
            </w:r>
            <w:proofErr w:type="spellStart"/>
            <w:r>
              <w:t>PM</w:t>
            </w:r>
            <w:proofErr w:type="spellEnd"/>
            <w:r>
              <w:t xml:space="preserve"> rendelet 4. melléklet 2.6. pontjában foglalt − a kibocsátó vezető állású személyeinek a kibocsátó által kibocsátott értékpapírokból a tulajdonukban álló értékpapír tulajdonváltozásával ka</w:t>
            </w:r>
            <w:r>
              <w:t>p</w:t>
            </w:r>
            <w:r>
              <w:t>csolatos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16. melléklet</w:t>
            </w:r>
          </w:p>
        </w:tc>
      </w:tr>
      <w:tr w:rsidR="004C0741" w:rsidRPr="00140995" w:rsidTr="004C0741">
        <w:trPr>
          <w:trHeight w:val="112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17.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56. § (4) bekezdésében és a </w:t>
            </w:r>
            <w:proofErr w:type="spellStart"/>
            <w:r>
              <w:t>PM</w:t>
            </w:r>
            <w:proofErr w:type="spellEnd"/>
            <w:r>
              <w:t xml:space="preserve"> rendelet 4. melléklet 1.13. pontjában foglalt − kibocsátó saját kibocsátású értékpapírjának tulajdonlásában bek</w:t>
            </w:r>
            <w:r>
              <w:t>ö</w:t>
            </w:r>
            <w:r>
              <w:t>vetkezett változással kapcsolatos − bejelentési kötelezettség teljesítéséhez</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17. melléklet</w:t>
            </w:r>
          </w:p>
        </w:tc>
      </w:tr>
      <w:tr w:rsidR="004C0741" w:rsidRPr="00140995" w:rsidTr="004C0741">
        <w:trPr>
          <w:trHeight w:val="141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18.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56. § (4) és 63. § (3) bekezdésében, valamint a </w:t>
            </w:r>
            <w:proofErr w:type="spellStart"/>
            <w:r>
              <w:t>PM</w:t>
            </w:r>
            <w:proofErr w:type="spellEnd"/>
            <w:r>
              <w:t xml:space="preserve"> rendelet 4. mellé</w:t>
            </w:r>
            <w:r>
              <w:t>k</w:t>
            </w:r>
            <w:r>
              <w:t>let 1.3. pontjában foglalt − a kibocsátó értékpapírjainak szabályozott piacra történő bevezetésével, kivezetésével és átvezetésével kapcsolatos − bej</w:t>
            </w:r>
            <w:r>
              <w:t>e</w:t>
            </w:r>
            <w:r>
              <w:t>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18. melléklet</w:t>
            </w:r>
          </w:p>
        </w:tc>
      </w:tr>
      <w:tr w:rsidR="004C0741" w:rsidRPr="00140995" w:rsidTr="004C0741">
        <w:trPr>
          <w:trHeight w:val="127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19.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63. § (3) bekezdésében foglalt - a szabályozott piacra bevezetett rés</w:t>
            </w:r>
            <w:r>
              <w:t>z</w:t>
            </w:r>
            <w:r>
              <w:t>vény kivezetéséről, átvezetéséről szóló döntésre vonatkozó - bejelent</w:t>
            </w:r>
            <w:r>
              <w:t>é</w:t>
            </w:r>
            <w:r>
              <w:t>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19. melléklet</w:t>
            </w:r>
          </w:p>
        </w:tc>
      </w:tr>
      <w:tr w:rsidR="004C0741" w:rsidRPr="00140995" w:rsidTr="004C0741">
        <w:trPr>
          <w:trHeight w:val="83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20.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63/</w:t>
            </w:r>
            <w:proofErr w:type="gramStart"/>
            <w:r>
              <w:t>A</w:t>
            </w:r>
            <w:proofErr w:type="gramEnd"/>
            <w:r>
              <w:t>. § (8) bekezdésében foglalt - az eladási ajánlat tárgyát képező részvények ellenértékének szolgáltatására vonatkozó - bejelentési kötel</w:t>
            </w:r>
            <w:r>
              <w:t>e</w:t>
            </w:r>
            <w:r>
              <w:t>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20. melléklet</w:t>
            </w:r>
          </w:p>
        </w:tc>
      </w:tr>
      <w:tr w:rsidR="004C0741" w:rsidRPr="00140995" w:rsidTr="004C0741">
        <w:trPr>
          <w:trHeight w:val="99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21.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Tpt. 203. § (4) bekezdés b) pontjában foglalt − a bennfentes információk nyilvánosságra hozatala késleltetésével </w:t>
            </w:r>
            <w:proofErr w:type="gramStart"/>
            <w:r>
              <w:t>kapcsolatos −  bejelentési</w:t>
            </w:r>
            <w:proofErr w:type="gramEnd"/>
            <w:r>
              <w:t xml:space="preserve"> kötel</w:t>
            </w:r>
            <w:r>
              <w:t>e</w:t>
            </w:r>
            <w:r>
              <w:t>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21. melléklet</w:t>
            </w:r>
          </w:p>
        </w:tc>
      </w:tr>
      <w:tr w:rsidR="004C0741" w:rsidRPr="00140995" w:rsidTr="004C0741">
        <w:trPr>
          <w:trHeight w:val="97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22.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391. § (1) bekezdés r) pontjában foglalt − a könyvvizsgáló adataira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22. melléklet</w:t>
            </w:r>
          </w:p>
        </w:tc>
      </w:tr>
      <w:tr w:rsidR="004C0741" w:rsidRPr="00140995" w:rsidTr="004C0741">
        <w:trPr>
          <w:trHeight w:val="126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23.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61. § (1) bekezdésében foglalt - a közvetlenül és közvetve birtokolt, szavazati jogot biztosító részvény és szavazati jog arányának a Tpt. 61. § (3) bekezdésében meghatározott mérték elérésére, meghaladására vagy ez alá csökkenésére vonatkozó - bejelentési kötelezettség nem természetes sz</w:t>
            </w:r>
            <w:r>
              <w:t>e</w:t>
            </w:r>
            <w:r>
              <w:t>mély által történő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23. melléklet</w:t>
            </w:r>
          </w:p>
        </w:tc>
      </w:tr>
      <w:tr w:rsidR="004C0741" w:rsidRPr="00140995" w:rsidTr="004C0741">
        <w:trPr>
          <w:trHeight w:val="126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24.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61. § (8) bekezdésében foglalt - a nyilvánosan működő részvénytárs</w:t>
            </w:r>
            <w:r>
              <w:t>a</w:t>
            </w:r>
            <w:r>
              <w:t>ság nem természetes személy részvényese által a Tpt. 61. § (7) bekezdése alapján figyelembe nem vett, kollektív befektetési formát megillető szavaz</w:t>
            </w:r>
            <w:r>
              <w:t>a</w:t>
            </w:r>
            <w:r>
              <w:t>ti jogra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24. melléklet</w:t>
            </w:r>
          </w:p>
        </w:tc>
      </w:tr>
      <w:tr w:rsidR="004C0741" w:rsidRPr="00140995" w:rsidTr="004C0741">
        <w:trPr>
          <w:trHeight w:val="98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25.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74. § (8) bekezdésében foglalt - az eladó elállási jogának gyakorlására vonatkozó - bejelentési kötelezettség nem természetes személy által tört</w:t>
            </w:r>
            <w:r>
              <w:t>é</w:t>
            </w:r>
            <w:r>
              <w:t>nő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25. melléklet</w:t>
            </w:r>
          </w:p>
        </w:tc>
      </w:tr>
      <w:tr w:rsidR="004C0741" w:rsidRPr="00140995" w:rsidTr="004C0741">
        <w:trPr>
          <w:trHeight w:val="84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Default="004C0741" w:rsidP="004C0741">
            <w:pPr>
              <w:spacing w:after="0" w:line="240" w:lineRule="auto"/>
              <w:jc w:val="center"/>
            </w:pPr>
            <w:r>
              <w:t xml:space="preserve">26. </w:t>
            </w:r>
          </w:p>
          <w:p w:rsidR="004C0741" w:rsidRPr="00140995" w:rsidRDefault="004C0741" w:rsidP="004C0741">
            <w:pPr>
              <w:spacing w:after="0" w:line="240" w:lineRule="auto"/>
              <w:jc w:val="center"/>
            </w:pP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76. §</w:t>
            </w:r>
            <w:proofErr w:type="spellStart"/>
            <w:r>
              <w:t>-ában</w:t>
            </w:r>
            <w:proofErr w:type="spellEnd"/>
            <w:r>
              <w:t xml:space="preserve"> foglalt - a vételi ajánlat eredményére vonatkozó - bejele</w:t>
            </w:r>
            <w:r>
              <w:t>n</w:t>
            </w:r>
            <w:r>
              <w:t>tési kötelezettség nem természetes személy által történő teljesítéséhez</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26. melléklet</w:t>
            </w:r>
          </w:p>
          <w:p w:rsidR="004C0741" w:rsidRPr="00140995" w:rsidRDefault="004C0741" w:rsidP="004C0741">
            <w:pPr>
              <w:spacing w:after="0" w:line="240" w:lineRule="auto"/>
              <w:jc w:val="center"/>
            </w:pPr>
          </w:p>
        </w:tc>
      </w:tr>
      <w:tr w:rsidR="004C0741" w:rsidRPr="00140995" w:rsidTr="004C0741">
        <w:trPr>
          <w:trHeight w:val="112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27.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76. §</w:t>
            </w:r>
            <w:proofErr w:type="spellStart"/>
            <w:r>
              <w:t>-ában</w:t>
            </w:r>
            <w:proofErr w:type="spellEnd"/>
            <w:r>
              <w:t xml:space="preserve"> foglalt - a vételi ajánlatba foglalt ellenérték teljesítésének vagy nem teljesítésének </w:t>
            </w:r>
            <w:proofErr w:type="spellStart"/>
            <w:r>
              <w:t>tényére</w:t>
            </w:r>
            <w:proofErr w:type="spellEnd"/>
            <w:r>
              <w:t xml:space="preserve"> vonatkozó - bejelentési kötelezettség nem természetes személy által történő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27. melléklet</w:t>
            </w:r>
          </w:p>
        </w:tc>
      </w:tr>
      <w:tr w:rsidR="004C0741" w:rsidRPr="00140995" w:rsidTr="004C0741">
        <w:trPr>
          <w:trHeight w:val="112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28.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76/D. § (2) bekezdésében meghatározott - a vételi jog gyakorlására irányuló szándékra vonatkozó - bejelentési kötelezettség nem természetes személy által történő teljesítéséhez</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28. melléklet</w:t>
            </w:r>
          </w:p>
        </w:tc>
      </w:tr>
      <w:tr w:rsidR="004C0741" w:rsidRPr="00140995" w:rsidTr="004C0741">
        <w:trPr>
          <w:trHeight w:val="112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29.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201/B. § (1) bekezdésében meghatározott - a nem természetes sz</w:t>
            </w:r>
            <w:r>
              <w:t>e</w:t>
            </w:r>
            <w:r>
              <w:t>mély, mint bennfentes személy által kötött ügylet adataira vonatozó - bej</w:t>
            </w:r>
            <w:r>
              <w:t>e</w:t>
            </w:r>
            <w:r>
              <w:t>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29. melléklet</w:t>
            </w:r>
          </w:p>
        </w:tc>
      </w:tr>
      <w:tr w:rsidR="004C0741" w:rsidRPr="00140995" w:rsidTr="004C0741">
        <w:trPr>
          <w:trHeight w:val="114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37.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22. § (6) bekezdésében foglalt - a Tpt. 22. § (4) bekezdés e)</w:t>
            </w:r>
            <w:proofErr w:type="spellStart"/>
            <w:r>
              <w:t>-h</w:t>
            </w:r>
            <w:proofErr w:type="spellEnd"/>
            <w:r>
              <w:t>) pontj</w:t>
            </w:r>
            <w:r>
              <w:t>á</w:t>
            </w:r>
            <w:r>
              <w:t>ban meghatározott esetek vonatkozásában a bevezetni kívánt értékpapír fajtájára, darabszámára, valamint a forgalomba hozatal okának és körülm</w:t>
            </w:r>
            <w:r>
              <w:t>é</w:t>
            </w:r>
            <w:r>
              <w:t>nyének részleteire vonatkozó - információk bejelentésének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37. melléklet</w:t>
            </w:r>
          </w:p>
        </w:tc>
      </w:tr>
      <w:tr w:rsidR="004C0741" w:rsidRPr="00140995" w:rsidTr="004C0741">
        <w:trPr>
          <w:trHeight w:val="111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38.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38. § (5) bekezdésében foglalt - a tájékoztató helyesbítésével (kieg</w:t>
            </w:r>
            <w:r>
              <w:t>é</w:t>
            </w:r>
            <w:r>
              <w:t>szítés, módosítás) kapcsolatos tényre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38. melléklet</w:t>
            </w:r>
          </w:p>
        </w:tc>
      </w:tr>
      <w:tr w:rsidR="004C0741" w:rsidRPr="00140995" w:rsidTr="004C0741">
        <w:trPr>
          <w:trHeight w:val="111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39.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az árjegyzőnek a Tpt. 61. § (12) bekezdés b) pontján alapuló bejelentési kötelezettsége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39. melléklet</w:t>
            </w:r>
          </w:p>
        </w:tc>
      </w:tr>
      <w:tr w:rsidR="004C0741" w:rsidRPr="00140995" w:rsidTr="004C0741">
        <w:trPr>
          <w:trHeight w:val="99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40.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205. § (1) és (3) bekezdésében meghatározott - a bennfentes kere</w:t>
            </w:r>
            <w:r>
              <w:t>s</w:t>
            </w:r>
            <w:r>
              <w:t>kedelemre, illetve piacbefolyásolásra utaló adat, tény vagy körülmény MNB részére történő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40. melléklet</w:t>
            </w:r>
          </w:p>
        </w:tc>
      </w:tr>
      <w:tr w:rsidR="004C0741" w:rsidRPr="00140995" w:rsidTr="004C0741">
        <w:trPr>
          <w:trHeight w:val="83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41.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a Tpt. 205. § (4) bekezdésében meghatározott - a bennfentes keresked</w:t>
            </w:r>
            <w:r>
              <w:t>e</w:t>
            </w:r>
            <w:r>
              <w:t>lemre, illetve piacbefolyásolásra utaló adat, tény vagy körülmény MNB részére történő bejelentésére kijelölt személy adatainak, vagy azokban bekövetkezett változásokra vonatkozó - bejelentési kötelezettség teljesít</w:t>
            </w:r>
            <w:r>
              <w:t>é</w:t>
            </w:r>
            <w:r>
              <w:t>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41. melléklet</w:t>
            </w:r>
          </w:p>
        </w:tc>
      </w:tr>
      <w:tr w:rsidR="004C0741" w:rsidRPr="00140995" w:rsidTr="004C0741">
        <w:trPr>
          <w:trHeight w:val="84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42.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73. § (3) bekezdésén alapuló - a zártkörű befektetési alap kezelési szabályzatának módosítására vonatkozó - bejelentési kötelezettség teljes</w:t>
            </w:r>
            <w:r>
              <w:t>í</w:t>
            </w:r>
            <w:r>
              <w:t>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42. melléklet</w:t>
            </w:r>
          </w:p>
        </w:tc>
      </w:tr>
      <w:tr w:rsidR="004C0741" w:rsidRPr="00140995" w:rsidTr="004C0741">
        <w:trPr>
          <w:trHeight w:val="97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43.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83. § (5) bekezdésén alapuló - az egyesült kockázati tőkealapok egyesüléséről szóló jelentés megküldésére vonatkozó - bejelentési kötel</w:t>
            </w:r>
            <w:r>
              <w:t>e</w:t>
            </w:r>
            <w:r>
              <w:t>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43. melléklet</w:t>
            </w:r>
          </w:p>
        </w:tc>
      </w:tr>
      <w:tr w:rsidR="004C0741" w:rsidRPr="00140995" w:rsidTr="004C0741">
        <w:trPr>
          <w:trHeight w:val="97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44.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83. § (5) bekezdésén alapuló - az egyesült magántőkealapok egy</w:t>
            </w:r>
            <w:r>
              <w:t>e</w:t>
            </w:r>
            <w:r>
              <w:t>süléséről szóló jelentés megküldésére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44. melléklet</w:t>
            </w:r>
          </w:p>
        </w:tc>
      </w:tr>
      <w:tr w:rsidR="004C0741" w:rsidRPr="00140995" w:rsidTr="004C0741">
        <w:trPr>
          <w:trHeight w:val="127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45.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xml:space="preserve">. 99. § (4) bekezdésén alapuló - az egyesült </w:t>
            </w:r>
            <w:proofErr w:type="spellStart"/>
            <w:r>
              <w:t>ÁÉKBV-k</w:t>
            </w:r>
            <w:proofErr w:type="spellEnd"/>
            <w:r>
              <w:t xml:space="preserve"> egyesüléséről szóló jelentés meg-küldésére vonatkozó - bejelentési kötelezettség teljes</w:t>
            </w:r>
            <w:r>
              <w:t>í</w:t>
            </w:r>
            <w:r>
              <w:t>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45. melléklet</w:t>
            </w:r>
          </w:p>
        </w:tc>
      </w:tr>
      <w:tr w:rsidR="004C0741" w:rsidRPr="00140995" w:rsidTr="004C0741">
        <w:trPr>
          <w:trHeight w:val="85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46.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100. § (2) bekezdésén alapuló – a kollektív befektetési forma szé</w:t>
            </w:r>
            <w:r>
              <w:t>t</w:t>
            </w:r>
            <w:r>
              <w:t>válásáról szóló jelentés megküldésére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46. melléklet</w:t>
            </w:r>
          </w:p>
        </w:tc>
      </w:tr>
      <w:tr w:rsidR="004C0741" w:rsidRPr="00140995" w:rsidTr="004C0741">
        <w:trPr>
          <w:trHeight w:val="9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47.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105. § (3) bekezdésén alapuló - a nyilvános zárt végű befektetési alapok esetében a kibocsátási program keretében történő egyes kibocsát</w:t>
            </w:r>
            <w:r>
              <w:t>á</w:t>
            </w:r>
            <w:r>
              <w:t>sok végleges feltételeire vonatkozó - bejelentési kötelezettség teljesítés</w:t>
            </w:r>
            <w:r>
              <w:t>é</w:t>
            </w:r>
            <w:r>
              <w:t>hez</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47. melléklet</w:t>
            </w:r>
          </w:p>
        </w:tc>
      </w:tr>
      <w:tr w:rsidR="004C0741" w:rsidRPr="00140995" w:rsidTr="004C0741">
        <w:trPr>
          <w:trHeight w:val="99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48.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113. § (1) bekezdésén alapuló - a befektetési jegyek folyamatos forgalmazásának szüneteltetésére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48. melléklet</w:t>
            </w:r>
          </w:p>
        </w:tc>
      </w:tr>
      <w:tr w:rsidR="004C0741" w:rsidRPr="00140995" w:rsidTr="004C0741">
        <w:trPr>
          <w:trHeight w:val="98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49.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114. § (3) bekezdésén alapuló - a befektetési jegyek folyamatos forgalmazásának fel-függesztésére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49. melléklet</w:t>
            </w:r>
          </w:p>
        </w:tc>
      </w:tr>
      <w:tr w:rsidR="004C0741" w:rsidRPr="00140995" w:rsidTr="004C0741">
        <w:trPr>
          <w:trHeight w:val="98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50.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122. § (2) bekezdésén alapuló – a nem uniós ABA kollektív befekt</w:t>
            </w:r>
            <w:r>
              <w:t>e</w:t>
            </w:r>
            <w:r>
              <w:t>tési értékpapírjainak belföldi forgalmazása esetén a letétkezelői feladatok elvégzésére kijelölt intézményre vonatkozó - bejelentési kötelezettség telj</w:t>
            </w:r>
            <w:r>
              <w:t>e</w:t>
            </w:r>
            <w:r>
              <w:lastRenderedPageBreak/>
              <w:t>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lastRenderedPageBreak/>
              <w:t>50. melléklet</w:t>
            </w:r>
          </w:p>
        </w:tc>
      </w:tr>
      <w:tr w:rsidR="004C0741" w:rsidRPr="00140995" w:rsidTr="004C0741">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51.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xml:space="preserve">. 128. § (7) bekezdésén alapuló - az </w:t>
            </w:r>
            <w:proofErr w:type="spellStart"/>
            <w:r>
              <w:t>illikviddé</w:t>
            </w:r>
            <w:proofErr w:type="spellEnd"/>
            <w:r>
              <w:t xml:space="preserve"> vált eszközök elkülön</w:t>
            </w:r>
            <w:r>
              <w:t>í</w:t>
            </w:r>
            <w:r>
              <w:t>tésére, az elkülönítés megszüntetésére vonatkozó - bejelentési kötelezet</w:t>
            </w:r>
            <w:r>
              <w:t>t</w:t>
            </w:r>
            <w:r>
              <w: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51. melléklet</w:t>
            </w:r>
          </w:p>
        </w:tc>
      </w:tr>
      <w:tr w:rsidR="004C0741" w:rsidRPr="00140995" w:rsidTr="004C0741">
        <w:trPr>
          <w:trHeight w:val="112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52.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139. § (1) bekezdésén alapuló - a nyilvános nyílt végű befektetési alapra vonatkozó rendkívüli tájékoztatási kötelezettségre vonatkozó - bej</w:t>
            </w:r>
            <w:r>
              <w:t>e</w:t>
            </w:r>
            <w:r>
              <w:t>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52. melléklet</w:t>
            </w:r>
          </w:p>
        </w:tc>
      </w:tr>
      <w:tr w:rsidR="004C0741" w:rsidRPr="00140995" w:rsidTr="004C0741">
        <w:trPr>
          <w:trHeight w:val="112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53.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xml:space="preserve">. 140. § (1) bekezdésén alapuló - a zártkörű befektetési alap éves jelentésének megküldésére </w:t>
            </w:r>
            <w:proofErr w:type="gramStart"/>
            <w:r>
              <w:t>vonatkozó  -</w:t>
            </w:r>
            <w:proofErr w:type="gramEnd"/>
            <w:r>
              <w:t xml:space="preserve"> bejelentési kötelezettség teljesít</w:t>
            </w:r>
            <w:r>
              <w:t>é</w:t>
            </w:r>
            <w:r>
              <w:t>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53. melléklet</w:t>
            </w:r>
          </w:p>
        </w:tc>
      </w:tr>
      <w:tr w:rsidR="004C0741" w:rsidRPr="00140995" w:rsidTr="004C0741">
        <w:trPr>
          <w:trHeight w:val="112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55.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167. § (1) bekezdés l) pontjában foglalt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55. melléklet</w:t>
            </w:r>
          </w:p>
        </w:tc>
      </w:tr>
      <w:tr w:rsidR="004C0741" w:rsidRPr="00140995" w:rsidTr="004C0741">
        <w:trPr>
          <w:trHeight w:val="126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56.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xml:space="preserve">. 143. § (5) bekezdésén alapuló - a </w:t>
            </w:r>
            <w:proofErr w:type="spellStart"/>
            <w:r>
              <w:t>gyűjtő-ÁÉKBV</w:t>
            </w:r>
            <w:proofErr w:type="spellEnd"/>
            <w:r>
              <w:t xml:space="preserve"> tervezett megszü</w:t>
            </w:r>
            <w:r>
              <w:t>n</w:t>
            </w:r>
            <w:r>
              <w:t>tetésére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56. melléklet</w:t>
            </w:r>
          </w:p>
        </w:tc>
      </w:tr>
      <w:tr w:rsidR="004C0741" w:rsidRPr="00140995" w:rsidTr="004C0741">
        <w:trPr>
          <w:trHeight w:val="113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57.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xml:space="preserve">. 146. § (3) bekezdésén alapuló - a </w:t>
            </w:r>
            <w:proofErr w:type="spellStart"/>
            <w:r>
              <w:t>cél-ÁÉKBV</w:t>
            </w:r>
            <w:proofErr w:type="spellEnd"/>
            <w:r>
              <w:t xml:space="preserve"> tájékoztatójára, k</w:t>
            </w:r>
            <w:r>
              <w:t>i</w:t>
            </w:r>
            <w:r>
              <w:t>emelt befektetői információjára és ezek módosításaira, valamint éves és féléves jelentéseire vonatkozó - bejelentési kötelezettség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57. melléklet</w:t>
            </w:r>
          </w:p>
        </w:tc>
      </w:tr>
      <w:tr w:rsidR="004C0741" w:rsidRPr="00140995" w:rsidTr="004C0741">
        <w:trPr>
          <w:trHeight w:val="112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58. </w:t>
            </w:r>
          </w:p>
        </w:tc>
        <w:tc>
          <w:tcPr>
            <w:tcW w:w="0" w:type="auto"/>
            <w:tcBorders>
              <w:top w:val="nil"/>
              <w:left w:val="nil"/>
              <w:bottom w:val="single" w:sz="4" w:space="0" w:color="auto"/>
              <w:right w:val="single" w:sz="4" w:space="0" w:color="auto"/>
            </w:tcBorders>
            <w:shd w:val="clear" w:color="auto" w:fill="auto"/>
            <w:vAlign w:val="center"/>
          </w:tcPr>
          <w:p w:rsidR="004C0741" w:rsidRDefault="004C0741" w:rsidP="004C0741">
            <w:pPr>
              <w:spacing w:after="0" w:line="240" w:lineRule="auto"/>
              <w:jc w:val="center"/>
            </w:pPr>
            <w:r>
              <w:t>Bejelentő űrlap</w:t>
            </w:r>
          </w:p>
          <w:p w:rsidR="004C0741" w:rsidRPr="00140995" w:rsidRDefault="004C0741" w:rsidP="004C0741">
            <w:pPr>
              <w:spacing w:after="0" w:line="240" w:lineRule="auto"/>
              <w:jc w:val="center"/>
            </w:pPr>
            <w:r>
              <w:t xml:space="preserve">a </w:t>
            </w:r>
            <w:proofErr w:type="spellStart"/>
            <w:r>
              <w:t>Kbftv</w:t>
            </w:r>
            <w:proofErr w:type="spellEnd"/>
            <w:r>
              <w:t xml:space="preserve">. 149. § (1) bekezdésén alapuló - a </w:t>
            </w:r>
            <w:proofErr w:type="spellStart"/>
            <w:r>
              <w:t>cél-ÁÉKBV</w:t>
            </w:r>
            <w:proofErr w:type="spellEnd"/>
            <w:r>
              <w:t xml:space="preserve"> kollektív befektetési értékpapírjaiba be-fektető </w:t>
            </w:r>
            <w:proofErr w:type="spellStart"/>
            <w:r>
              <w:t>gyűjtő-ÁÉKBV-re</w:t>
            </w:r>
            <w:proofErr w:type="spellEnd"/>
            <w:r>
              <w:t xml:space="preserve"> vonatkozó bejelentési kötel</w:t>
            </w:r>
            <w:r>
              <w:t>e</w:t>
            </w:r>
            <w:r>
              <w:t>zettség teljesítéséhez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58. melléklet</w:t>
            </w:r>
          </w:p>
        </w:tc>
      </w:tr>
      <w:tr w:rsidR="004C0741" w:rsidRPr="00140995" w:rsidTr="004C0741">
        <w:trPr>
          <w:trHeight w:val="12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59.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Tpt. 22. § (2) és (5) bekezdésében meghatározott dokumentu</w:t>
            </w:r>
            <w:r>
              <w:t>m</w:t>
            </w:r>
            <w:r>
              <w:t xml:space="preserve">ban szereplő információknak a tájékoztatóban foglalt </w:t>
            </w:r>
            <w:proofErr w:type="gramStart"/>
            <w:r>
              <w:t>információkkal</w:t>
            </w:r>
            <w:proofErr w:type="gramEnd"/>
            <w:r>
              <w:t xml:space="preserve"> való egyenértékűségével kapcsolatos döntés meghozatalára</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59. melléklet</w:t>
            </w:r>
          </w:p>
        </w:tc>
      </w:tr>
      <w:tr w:rsidR="004C0741" w:rsidRPr="00140995" w:rsidTr="004C0741">
        <w:trPr>
          <w:trHeight w:val="114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60.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kibocsátási tájékoztató kiegészítése közzétételének engedélyez</w:t>
            </w:r>
            <w:r>
              <w:t>é</w:t>
            </w:r>
            <w:r>
              <w:t>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60. melléklet</w:t>
            </w:r>
          </w:p>
        </w:tc>
      </w:tr>
      <w:tr w:rsidR="004C0741" w:rsidRPr="00140995" w:rsidTr="004C0741">
        <w:trPr>
          <w:trHeight w:val="139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61.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alaptájékoztató kiegészítése közzétételének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61. melléklet</w:t>
            </w:r>
          </w:p>
        </w:tc>
      </w:tr>
      <w:tr w:rsidR="004C0741" w:rsidRPr="00140995" w:rsidTr="004C0741">
        <w:trPr>
          <w:trHeight w:val="140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62.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kibocsátási tájékoztató és a hirdetmény közzétételének enged</w:t>
            </w:r>
            <w:r>
              <w:t>é</w:t>
            </w:r>
            <w:r>
              <w:t>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62. melléklet</w:t>
            </w:r>
          </w:p>
        </w:tc>
      </w:tr>
      <w:tr w:rsidR="004C0741" w:rsidRPr="00140995" w:rsidTr="004C0741">
        <w:trPr>
          <w:trHeight w:val="141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63.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alaptájékoztató és a hirdetmény közzétételének engedélyezés</w:t>
            </w:r>
            <w:r>
              <w:t>é</w:t>
            </w:r>
            <w:r>
              <w:t>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63. melléklet</w:t>
            </w:r>
          </w:p>
        </w:tc>
      </w:tr>
      <w:tr w:rsidR="004C0741" w:rsidRPr="00140995" w:rsidTr="004C0741">
        <w:trPr>
          <w:trHeight w:val="141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64.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ismertető közzétételének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64. melléklet</w:t>
            </w:r>
          </w:p>
        </w:tc>
      </w:tr>
      <w:tr w:rsidR="004C0741" w:rsidRPr="00140995" w:rsidTr="004C0741">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helyi önkormányzat, az Európai Unió tagállamának regionális vagy helyi önkormányzata által kibocsátott hitelviszonyt megtestesítő é</w:t>
            </w:r>
            <w:r>
              <w:t>r</w:t>
            </w:r>
            <w:r>
              <w:t>tékpapír, továbbá az Európai Unió tagállamának regionális vagy helyi ö</w:t>
            </w:r>
            <w:r>
              <w:t>n</w:t>
            </w:r>
            <w:r>
              <w:t>kormányzata által garantált értékpapír nyilvános forgalomba hozatalához, illetve szab</w:t>
            </w:r>
            <w:r>
              <w:t>á</w:t>
            </w:r>
            <w:r>
              <w:t>lyozott piacra történő bevezetéséhez készített tájékoztató, hirdetmény kö</w:t>
            </w:r>
            <w:r>
              <w:t>z</w:t>
            </w:r>
            <w:r>
              <w:t>zétételének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65. melléklet</w:t>
            </w:r>
          </w:p>
        </w:tc>
      </w:tr>
      <w:tr w:rsidR="004C0741" w:rsidRPr="00140995" w:rsidTr="004C0741">
        <w:trPr>
          <w:trHeight w:val="98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harmadik országban székhellyel rendelkező kibocsátó tájékozt</w:t>
            </w:r>
            <w:r>
              <w:t>a</w:t>
            </w:r>
            <w:r>
              <w:t>tója közzétételének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66. melléklet</w:t>
            </w:r>
          </w:p>
        </w:tc>
      </w:tr>
      <w:tr w:rsidR="004C0741" w:rsidRPr="00140995" w:rsidTr="004C0741">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67.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zártkörű részvénytársasággá alakuló, értékpapírt nyilvánosan forgalomba hozott kibocsátó nyilvánosság felé történő adatszolgáltatási kötelezettség alóli </w:t>
            </w:r>
            <w:proofErr w:type="gramStart"/>
            <w:r>
              <w:t>mentesítésére</w:t>
            </w:r>
            <w:proofErr w:type="gramEnd"/>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67. melléklet</w:t>
            </w:r>
          </w:p>
        </w:tc>
      </w:tr>
      <w:tr w:rsidR="004C0741" w:rsidRPr="00140995" w:rsidTr="004C0741">
        <w:trPr>
          <w:trHeight w:val="98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68.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A nem természetes személy nyilvános ajánlattevő általi vételi ajánlat jóv</w:t>
            </w:r>
            <w:r>
              <w:t>á</w:t>
            </w:r>
            <w:r>
              <w:t>hagyására irányuló kérelem</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68. melléklet</w:t>
            </w:r>
          </w:p>
        </w:tc>
      </w:tr>
      <w:tr w:rsidR="004C0741" w:rsidRPr="00140995" w:rsidTr="004C0741">
        <w:trPr>
          <w:trHeight w:val="98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69.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A nem természetes személy nyilvános ajánlattevő általi kiegészített, részl</w:t>
            </w:r>
            <w:r>
              <w:t>e</w:t>
            </w:r>
            <w:r>
              <w:t>tezett, módosított vételi ajánlat jóváhagyására irányuló kérelem</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69. melléklet</w:t>
            </w:r>
          </w:p>
        </w:tc>
      </w:tr>
      <w:tr w:rsidR="004C0741" w:rsidRPr="00140995" w:rsidTr="004C0741">
        <w:trPr>
          <w:trHeight w:val="8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72.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kibocsátási tájékoztató és a hirdetmény közzétételének enged</w:t>
            </w:r>
            <w:r>
              <w:t>é</w:t>
            </w:r>
            <w:r>
              <w:t>lyezésére, a kezelési szabályzat jóváhagyására nyilvános zárt végű értékp</w:t>
            </w:r>
            <w:r>
              <w:t>a</w:t>
            </w:r>
            <w:r>
              <w:t>píralap esetén</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72. melléklet</w:t>
            </w:r>
          </w:p>
        </w:tc>
      </w:tr>
      <w:tr w:rsidR="004C0741" w:rsidRPr="00140995" w:rsidTr="004C0741">
        <w:trPr>
          <w:trHeight w:val="97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73.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alaptájékoztató és a hirdetmény közzétételének engedélyezés</w:t>
            </w:r>
            <w:r>
              <w:t>é</w:t>
            </w:r>
            <w:r>
              <w:t>re, a kezelési szabályzat jóváhagyására nyilvános zárt végű értékpapíralap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73. melléklet</w:t>
            </w:r>
          </w:p>
        </w:tc>
      </w:tr>
      <w:tr w:rsidR="004C0741" w:rsidRPr="00140995" w:rsidTr="004C0741">
        <w:trPr>
          <w:trHeight w:val="98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74.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kibocsátási tájékoztató és a hirdetmény közzétételének enged</w:t>
            </w:r>
            <w:r>
              <w:t>é</w:t>
            </w:r>
            <w:r>
              <w:t>lyezésére, a kezelési szabályzat jóváhagyására és az ingatlanértékelővel kötött szerződés létrejöttének engedélyezésére nyilvános zárt végű inga</w:t>
            </w:r>
            <w:r>
              <w:t>t</w:t>
            </w:r>
            <w:r>
              <w:t>lanalap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74. melléklet</w:t>
            </w:r>
          </w:p>
        </w:tc>
      </w:tr>
      <w:tr w:rsidR="004C0741" w:rsidRPr="00140995" w:rsidTr="004C0741">
        <w:trPr>
          <w:trHeight w:val="112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alaptájékoztató és a hirdetmény közzétételének engedélyezés</w:t>
            </w:r>
            <w:r>
              <w:t>é</w:t>
            </w:r>
            <w:r>
              <w:t>re, a kezelési szabályzat jóváhagyására és az ingatlanértékelővel kötött szerződés létrejöttének engedélyezésére nyilvános zárt végű ingatlanalap es</w:t>
            </w:r>
            <w:r>
              <w:t>e</w:t>
            </w:r>
            <w:r>
              <w:t>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75. melléklet</w:t>
            </w:r>
          </w:p>
        </w:tc>
      </w:tr>
      <w:tr w:rsidR="004C0741" w:rsidRPr="00140995" w:rsidTr="004C0741">
        <w:trPr>
          <w:trHeight w:val="112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76.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kibocsátási tájékoztató kiegészítése közzétételének engedélyez</w:t>
            </w:r>
            <w:r>
              <w:t>é</w:t>
            </w:r>
            <w:r>
              <w:t>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76. melléklet</w:t>
            </w:r>
          </w:p>
        </w:tc>
      </w:tr>
      <w:tr w:rsidR="004C0741" w:rsidRPr="00140995" w:rsidTr="004C0741">
        <w:trPr>
          <w:trHeight w:val="70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77.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alaptájékoztató kiegészítése közzétételének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77. melléklet</w:t>
            </w:r>
          </w:p>
        </w:tc>
      </w:tr>
      <w:tr w:rsidR="004C0741" w:rsidRPr="00140995" w:rsidTr="004C0741">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78.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tájékoztató, a hirdetmény, a kiemelt befektetői információ és a kezelési szabályzat jóváhagyására nyilvános nyílt végű, harmonizációja sz</w:t>
            </w:r>
            <w:r>
              <w:t>e</w:t>
            </w:r>
            <w:r>
              <w:t>rint ABA értékpapíralap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78. melléklet</w:t>
            </w:r>
          </w:p>
        </w:tc>
      </w:tr>
      <w:tr w:rsidR="004C0741" w:rsidRPr="00140995" w:rsidTr="004C0741">
        <w:trPr>
          <w:trHeight w:val="50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79.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tájékoztató, a hirdetmény, a kiemelt befektetői információ és a kezelési szabályzat jóváhagyására, valamint a letétkezelői szerződés hatál</w:t>
            </w:r>
            <w:r>
              <w:t>y</w:t>
            </w:r>
            <w:r>
              <w:t xml:space="preserve">balépésének jóváhagyására nyilvános nyílt végű, harmonizációja szerint </w:t>
            </w:r>
            <w:proofErr w:type="spellStart"/>
            <w:r>
              <w:t>ÁÉKBV</w:t>
            </w:r>
            <w:proofErr w:type="spellEnd"/>
            <w:r>
              <w:t xml:space="preserve"> értékpapíralap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79. melléklet</w:t>
            </w:r>
          </w:p>
        </w:tc>
      </w:tr>
      <w:tr w:rsidR="004C0741" w:rsidRPr="00140995" w:rsidTr="004C0741">
        <w:trPr>
          <w:trHeight w:val="70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80.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tájékoztató, a hirdetmény, a kiemelt befektetői információ és a kezelési szabályzat jóváhagyására, valamint az ingatlanértékelővel kötött szerződés létrejöttének engedélyezésé-re nyilvános nyílt végű ingatlanalap esetében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80. melléklet</w:t>
            </w:r>
          </w:p>
        </w:tc>
      </w:tr>
      <w:tr w:rsidR="004C0741" w:rsidRPr="00140995" w:rsidTr="004C0741">
        <w:trPr>
          <w:trHeight w:val="69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81.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Nyilvántartásba vétel iránti kérelem nyilvános befektetési alap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81. melléklet</w:t>
            </w:r>
          </w:p>
        </w:tc>
      </w:tr>
      <w:tr w:rsidR="004C0741" w:rsidRPr="00140995" w:rsidTr="004C0741">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82.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Nyilvántartásba vétel iránti kérelem zártkörű befektetési alap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82. melléklet</w:t>
            </w:r>
          </w:p>
        </w:tc>
      </w:tr>
      <w:tr w:rsidR="004C0741" w:rsidRPr="00140995" w:rsidTr="004C0741">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83.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83. melléklet</w:t>
            </w:r>
          </w:p>
        </w:tc>
      </w:tr>
      <w:tr w:rsidR="004C0741" w:rsidRPr="00140995" w:rsidTr="004C0741">
        <w:trPr>
          <w:trHeight w:val="50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84.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határozott futa</w:t>
            </w:r>
            <w:r>
              <w:t>m</w:t>
            </w:r>
            <w:r>
              <w:t>idejű befektetési alap futamidejének lejárata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84. melléklet</w:t>
            </w:r>
          </w:p>
        </w:tc>
      </w:tr>
      <w:tr w:rsidR="004C0741" w:rsidRPr="00140995" w:rsidTr="004C0741">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amennyiben a befektetők az összes befektetési jegy visszaváltására irányuló visszaváltási megbízást adtak le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85. melléklet</w:t>
            </w:r>
          </w:p>
        </w:tc>
      </w:tr>
      <w:tr w:rsidR="004C0741" w:rsidRPr="00140995" w:rsidTr="004C0741">
        <w:trPr>
          <w:trHeight w:val="108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zárt végű befektetési </w:t>
            </w:r>
            <w:proofErr w:type="gramStart"/>
            <w:r>
              <w:t>alap nyilvántartásból</w:t>
            </w:r>
            <w:proofErr w:type="gramEnd"/>
            <w:r>
              <w:t xml:space="preserve"> való törlésére, ha arra azért kerül sor, mert az összes befektetési jegy a kezelési szabályzatban eredetileg meghatározott feltételek szerint bevonásra került</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86. melléklet</w:t>
            </w:r>
          </w:p>
        </w:tc>
      </w:tr>
      <w:tr w:rsidR="004C0741" w:rsidRPr="00140995" w:rsidTr="004C0741">
        <w:trPr>
          <w:trHeight w:val="112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87.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ha a nyilvános nyílt végű befektetési alap nettó eszközértéke 3 hónapon keresztül, átlag</w:t>
            </w:r>
            <w:r>
              <w:t>o</w:t>
            </w:r>
            <w:r>
              <w:t>san nem éri el a húszmillió forintot</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87. melléklet</w:t>
            </w:r>
          </w:p>
        </w:tc>
      </w:tr>
      <w:tr w:rsidR="004C0741" w:rsidRPr="00140995" w:rsidTr="004C0741">
        <w:trPr>
          <w:trHeight w:val="70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88.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ha a befektetési alap nettó eszköz-értéke negatívvá vált</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88. melléklet</w:t>
            </w:r>
          </w:p>
        </w:tc>
      </w:tr>
      <w:tr w:rsidR="004C0741" w:rsidRPr="00140995" w:rsidTr="004C0741">
        <w:trPr>
          <w:trHeight w:val="425"/>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89.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ha arra azért kerül sor esetében, mert a befektetési jegyek folyamatos forgalmazása vagy a befektetési jegyek visszaváltása felfüggesztésének megszűnését követően a folyamatos forgalmazás feltételei továbbra sem biztosítottak</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89. melléklet</w:t>
            </w:r>
          </w:p>
        </w:tc>
      </w:tr>
      <w:tr w:rsidR="004C0741" w:rsidRPr="00140995" w:rsidTr="004C0741">
        <w:trPr>
          <w:trHeight w:val="78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90.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nyilvános nyílt végű, harmonizációja szerint </w:t>
            </w:r>
            <w:proofErr w:type="spellStart"/>
            <w:r>
              <w:t>ÁÉKBV</w:t>
            </w:r>
            <w:proofErr w:type="spellEnd"/>
            <w:r>
              <w:t xml:space="preserve"> értékpapíralap esetén a letétkezelői szerződés módosítása hatálybalépésének jóváhagyá</w:t>
            </w:r>
            <w:r>
              <w:t>s</w:t>
            </w:r>
            <w:r>
              <w:t>ára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90. melléklet</w:t>
            </w:r>
          </w:p>
        </w:tc>
      </w:tr>
      <w:tr w:rsidR="004C0741" w:rsidRPr="00140995" w:rsidTr="004C0741">
        <w:trPr>
          <w:trHeight w:val="85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91.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befektetési alappal kapcsolatos megszűnési eljárás esetén az értékesítésre megállapított határidő meghosszabbításának engedélyezése iránt</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91. melléklet</w:t>
            </w:r>
          </w:p>
        </w:tc>
      </w:tr>
      <w:tr w:rsidR="004C0741" w:rsidRPr="00140995" w:rsidTr="004C0741">
        <w:trPr>
          <w:trHeight w:val="69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92.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megszűnése esetén a </w:t>
            </w:r>
            <w:proofErr w:type="spellStart"/>
            <w:r>
              <w:t>gyűjtő-ÁÉKBV</w:t>
            </w:r>
            <w:proofErr w:type="spellEnd"/>
            <w:r>
              <w:t xml:space="preserve"> nyilvántartásból való törlésére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92. melléklet</w:t>
            </w:r>
          </w:p>
        </w:tc>
      </w:tr>
      <w:tr w:rsidR="004C0741" w:rsidRPr="00140995" w:rsidTr="004C0741">
        <w:trPr>
          <w:trHeight w:val="83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93.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nyilvános befektetési alap kezelési szabályzata módosításának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93. melléklet</w:t>
            </w:r>
          </w:p>
        </w:tc>
      </w:tr>
      <w:tr w:rsidR="004C0741" w:rsidRPr="00140995" w:rsidTr="004C0741">
        <w:trPr>
          <w:trHeight w:val="70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94.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befektetési alap kezelése átadásának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94. melléklet</w:t>
            </w:r>
          </w:p>
        </w:tc>
      </w:tr>
      <w:tr w:rsidR="004C0741" w:rsidRPr="00140995" w:rsidTr="004C0741">
        <w:trPr>
          <w:trHeight w:val="98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nyilvános befektetési alap átalakulásához készült tájékoztató jóváhagyására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95. melléklet</w:t>
            </w:r>
          </w:p>
        </w:tc>
      </w:tr>
      <w:tr w:rsidR="004C0741" w:rsidRPr="00140995" w:rsidTr="004C0741">
        <w:trPr>
          <w:trHeight w:val="55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zártkörű befektetési alap nyilvános befektetési alappá történő átalakulásának jóváhagyására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96. melléklet</w:t>
            </w:r>
          </w:p>
        </w:tc>
      </w:tr>
      <w:tr w:rsidR="004C0741" w:rsidRPr="00140995" w:rsidTr="004C0741">
        <w:trPr>
          <w:trHeight w:val="197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97.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az </w:t>
            </w:r>
            <w:proofErr w:type="spellStart"/>
            <w:r>
              <w:t>ABA-k</w:t>
            </w:r>
            <w:proofErr w:type="spellEnd"/>
            <w:r>
              <w:t xml:space="preserve"> egyesülésének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97. melléklet</w:t>
            </w:r>
          </w:p>
        </w:tc>
      </w:tr>
      <w:tr w:rsidR="004C0741" w:rsidRPr="00140995" w:rsidTr="004C0741">
        <w:trPr>
          <w:trHeight w:val="85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98.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az </w:t>
            </w:r>
            <w:proofErr w:type="spellStart"/>
            <w:r>
              <w:t>ÁÉKBV-k</w:t>
            </w:r>
            <w:proofErr w:type="spellEnd"/>
            <w:r>
              <w:t xml:space="preserve"> egyesülésének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98. melléklet</w:t>
            </w:r>
          </w:p>
        </w:tc>
      </w:tr>
      <w:tr w:rsidR="004C0741" w:rsidRPr="00140995" w:rsidTr="004C0741">
        <w:trPr>
          <w:trHeight w:val="69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99.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kollektív befektetési forma szétválásának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99. melléklet</w:t>
            </w:r>
          </w:p>
        </w:tc>
      </w:tr>
      <w:tr w:rsidR="004C0741" w:rsidRPr="00140995" w:rsidTr="004C0741">
        <w:trPr>
          <w:trHeight w:val="56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100.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kollektív befektetési forma részalapja szétválásának engedélyez</w:t>
            </w:r>
            <w:r>
              <w:t>é</w:t>
            </w:r>
            <w:r>
              <w:t>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100. melléklet</w:t>
            </w:r>
          </w:p>
        </w:tc>
      </w:tr>
      <w:tr w:rsidR="004C0741" w:rsidRPr="00140995" w:rsidTr="004C0741">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101.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Kbftv</w:t>
            </w:r>
            <w:proofErr w:type="spellEnd"/>
            <w:r>
              <w:t>. 82. § (7) bekezdésében meghatározott körbe tartozó - ugyanazon befektetési alapkezelő és letétkezelő által kezelt másik befekt</w:t>
            </w:r>
            <w:r>
              <w:t>e</w:t>
            </w:r>
            <w:r>
              <w:t>tési alap részalapjává válást jelentő - egyesülés engedélyezésére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101. melléklet</w:t>
            </w:r>
          </w:p>
        </w:tc>
      </w:tr>
      <w:tr w:rsidR="004C0741" w:rsidRPr="00140995" w:rsidTr="004C0741">
        <w:trPr>
          <w:trHeight w:val="13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102.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befektetési jegy folyamatos forgalmazása felfüggesztésének e</w:t>
            </w:r>
            <w:r>
              <w:t>n</w:t>
            </w:r>
            <w:r>
              <w:t>gedélyezésére egyesülés esetén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102. melléklet</w:t>
            </w:r>
          </w:p>
        </w:tc>
      </w:tr>
      <w:tr w:rsidR="004C0741" w:rsidRPr="00140995" w:rsidTr="004C0741">
        <w:trPr>
          <w:trHeight w:val="55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103.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 befektetési jegy folyamatos forgalmazása felfüggesztésének meghosszabbítására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103. melléklet</w:t>
            </w:r>
          </w:p>
        </w:tc>
      </w:tr>
      <w:tr w:rsidR="004C0741" w:rsidRPr="00140995" w:rsidTr="004C0741">
        <w:trPr>
          <w:trHeight w:val="69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104.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ingatlanértékelővel kötött szerződés jóváhagyására</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104. melléklet</w:t>
            </w:r>
          </w:p>
        </w:tc>
      </w:tr>
      <w:tr w:rsidR="004C0741" w:rsidRPr="00140995" w:rsidTr="004C0741">
        <w:trPr>
          <w:trHeight w:val="851"/>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Kérelem az ingatlanértékelővel kötött szerződés módosításának jóváh</w:t>
            </w:r>
            <w:r>
              <w:t>a</w:t>
            </w:r>
            <w:r>
              <w:t>gyására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105. melléklet</w:t>
            </w:r>
          </w:p>
        </w:tc>
      </w:tr>
      <w:tr w:rsidR="004C0741" w:rsidRPr="00140995" w:rsidTr="004C0741">
        <w:trPr>
          <w:trHeight w:val="69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gyűjtő-ÁÉKBV</w:t>
            </w:r>
            <w:proofErr w:type="spellEnd"/>
            <w:r>
              <w:t xml:space="preserve"> </w:t>
            </w:r>
            <w:proofErr w:type="spellStart"/>
            <w:r>
              <w:t>cél-ÁÉKBV-be</w:t>
            </w:r>
            <w:proofErr w:type="spellEnd"/>
            <w:r>
              <w:t xml:space="preserve"> történő befektetésének engedély</w:t>
            </w:r>
            <w:r>
              <w:t>e</w:t>
            </w:r>
            <w:r>
              <w:t>zésére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106. melléklet</w:t>
            </w:r>
          </w:p>
        </w:tc>
      </w:tr>
      <w:tr w:rsidR="004C0741" w:rsidRPr="00140995" w:rsidTr="004C0741">
        <w:trPr>
          <w:trHeight w:val="70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107.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megszűnése esetén annak engedélyezésére, hogy a </w:t>
            </w:r>
            <w:proofErr w:type="spellStart"/>
            <w:r>
              <w:t>gyűjtő-ÁÉKBV</w:t>
            </w:r>
            <w:proofErr w:type="spellEnd"/>
            <w:r>
              <w:t xml:space="preserve"> egy másik </w:t>
            </w:r>
            <w:proofErr w:type="spellStart"/>
            <w:r>
              <w:t>cél-ÁÉKBV-be</w:t>
            </w:r>
            <w:proofErr w:type="spellEnd"/>
            <w:r>
              <w:t xml:space="preserve"> fektesse eszközeinek legalább 85 százalékát</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107. melléklet</w:t>
            </w:r>
          </w:p>
        </w:tc>
      </w:tr>
      <w:tr w:rsidR="004C0741" w:rsidRPr="00140995" w:rsidTr="004C0741">
        <w:trPr>
          <w:trHeight w:val="69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108.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megszűnése esetén annak engedélyezésére, hogy a </w:t>
            </w:r>
            <w:proofErr w:type="spellStart"/>
            <w:r>
              <w:t>gyűjtő-ÁÉKBV</w:t>
            </w:r>
            <w:proofErr w:type="spellEnd"/>
            <w:r>
              <w:t xml:space="preserve"> módosítsa a kezelési szabályzatát olyan módon, hogy nem gyűjtő </w:t>
            </w:r>
            <w:proofErr w:type="spellStart"/>
            <w:r>
              <w:t>ÁÉKBV-ként</w:t>
            </w:r>
            <w:proofErr w:type="spellEnd"/>
            <w:r>
              <w:t xml:space="preserve"> működik tovább</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108. melléklet</w:t>
            </w:r>
          </w:p>
        </w:tc>
      </w:tr>
      <w:tr w:rsidR="004C0741" w:rsidRPr="00140995" w:rsidTr="004C0741">
        <w:trPr>
          <w:trHeight w:val="849"/>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109.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szétválása vagy másik </w:t>
            </w:r>
            <w:proofErr w:type="spellStart"/>
            <w:r>
              <w:t>ÁÉKBV-vel</w:t>
            </w:r>
            <w:proofErr w:type="spellEnd"/>
            <w:r>
              <w:t xml:space="preserve"> való egyesülése es</w:t>
            </w:r>
            <w:r>
              <w:t>e</w:t>
            </w:r>
            <w:r>
              <w:t xml:space="preserve">tén annak engedélyezésére, hogy a </w:t>
            </w:r>
            <w:proofErr w:type="spellStart"/>
            <w:r>
              <w:t>gyűjtő-ÁÉKBV</w:t>
            </w:r>
            <w:proofErr w:type="spellEnd"/>
            <w:r>
              <w:t xml:space="preserve"> továbbra is a </w:t>
            </w:r>
            <w:proofErr w:type="spellStart"/>
            <w:r>
              <w:t>cél-ÁÉKBV</w:t>
            </w:r>
            <w:proofErr w:type="spellEnd"/>
            <w:r>
              <w:t xml:space="preserve"> </w:t>
            </w:r>
            <w:proofErr w:type="spellStart"/>
            <w:r>
              <w:t>gyűjtő-ÁÉKBV-je</w:t>
            </w:r>
            <w:proofErr w:type="spellEnd"/>
            <w:r>
              <w:t xml:space="preserve"> maradjon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109. melléklet</w:t>
            </w:r>
          </w:p>
        </w:tc>
      </w:tr>
      <w:tr w:rsidR="004C0741" w:rsidRPr="00140995" w:rsidTr="004C0741">
        <w:trPr>
          <w:trHeight w:val="83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110.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szétválása vagy másik </w:t>
            </w:r>
            <w:proofErr w:type="spellStart"/>
            <w:r>
              <w:t>ÁÉKBV-vel</w:t>
            </w:r>
            <w:proofErr w:type="spellEnd"/>
            <w:r>
              <w:t xml:space="preserve"> való egyesülése es</w:t>
            </w:r>
            <w:r>
              <w:t>e</w:t>
            </w:r>
            <w:r>
              <w:t xml:space="preserve">tén annak engedélyezésére, hogy a </w:t>
            </w:r>
            <w:proofErr w:type="spellStart"/>
            <w:r>
              <w:t>gyűjtő-ÁÉKBV</w:t>
            </w:r>
            <w:proofErr w:type="spellEnd"/>
            <w:r>
              <w:t xml:space="preserve"> az egyesülés, illetve szé</w:t>
            </w:r>
            <w:r>
              <w:t>t</w:t>
            </w:r>
            <w:r>
              <w:t xml:space="preserve">válás eredményeképpen létrejött másik </w:t>
            </w:r>
            <w:proofErr w:type="spellStart"/>
            <w:r>
              <w:t>ÁÉKBV</w:t>
            </w:r>
            <w:proofErr w:type="spellEnd"/>
            <w:r>
              <w:t xml:space="preserve"> gyűjtő </w:t>
            </w:r>
            <w:proofErr w:type="spellStart"/>
            <w:r>
              <w:t>ÁÉKBV-je</w:t>
            </w:r>
            <w:proofErr w:type="spellEnd"/>
            <w:r>
              <w:t xml:space="preserve"> maradjon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110. melléklet</w:t>
            </w:r>
          </w:p>
        </w:tc>
      </w:tr>
      <w:tr w:rsidR="004C0741" w:rsidRPr="00140995" w:rsidTr="004C0741">
        <w:trPr>
          <w:trHeight w:val="56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111.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szétválása vagy másik </w:t>
            </w:r>
            <w:proofErr w:type="spellStart"/>
            <w:r>
              <w:t>ÁÉKBV-vel</w:t>
            </w:r>
            <w:proofErr w:type="spellEnd"/>
            <w:r>
              <w:t xml:space="preserve"> való egyesülése es</w:t>
            </w:r>
            <w:r>
              <w:t>e</w:t>
            </w:r>
            <w:r>
              <w:t xml:space="preserve">tén annak engedélyezésére, hogy a </w:t>
            </w:r>
            <w:proofErr w:type="spellStart"/>
            <w:r>
              <w:t>gyűjtő-ÁÉKBV</w:t>
            </w:r>
            <w:proofErr w:type="spellEnd"/>
            <w:r>
              <w:t xml:space="preserve"> eszközeinek legalább 85 százalékát egy másik, nem az egyesülés vagy szétválás eredményeképp lé</w:t>
            </w:r>
            <w:r>
              <w:t>t</w:t>
            </w:r>
            <w:r>
              <w:t xml:space="preserve">rejött </w:t>
            </w:r>
            <w:proofErr w:type="spellStart"/>
            <w:r>
              <w:t>cél-ÁÉKBV</w:t>
            </w:r>
            <w:proofErr w:type="spellEnd"/>
            <w:r>
              <w:t xml:space="preserve"> kollektív befektetési értékpapírjaiba fektesse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111. melléklet</w:t>
            </w:r>
          </w:p>
        </w:tc>
      </w:tr>
      <w:tr w:rsidR="004C0741" w:rsidRPr="00140995" w:rsidTr="004C0741">
        <w:trPr>
          <w:trHeight w:val="40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112.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szétválása, egyesülése, megszűnése esetén a </w:t>
            </w:r>
            <w:proofErr w:type="spellStart"/>
            <w:r>
              <w:t>gyűjtő-ÁÉKBV</w:t>
            </w:r>
            <w:proofErr w:type="spellEnd"/>
            <w:r>
              <w:t xml:space="preserve"> számára annak engedélyezésére, hogy a </w:t>
            </w:r>
            <w:proofErr w:type="spellStart"/>
            <w:r>
              <w:t>Kbftv</w:t>
            </w:r>
            <w:proofErr w:type="spellEnd"/>
            <w:r>
              <w:t xml:space="preserve">. 143. § (4) bekezdés b) pontja, valamint a </w:t>
            </w:r>
            <w:proofErr w:type="spellStart"/>
            <w:r>
              <w:t>Kbftv</w:t>
            </w:r>
            <w:proofErr w:type="spellEnd"/>
            <w:r>
              <w:t xml:space="preserve">. 143. § (6) bekezdés c) pontja szerint nem </w:t>
            </w:r>
            <w:proofErr w:type="spellStart"/>
            <w:r>
              <w:t>gyű</w:t>
            </w:r>
            <w:r>
              <w:t>j</w:t>
            </w:r>
            <w:r>
              <w:t>tő-ÁÉKBV-ként</w:t>
            </w:r>
            <w:proofErr w:type="spellEnd"/>
            <w:r>
              <w:t xml:space="preserve"> működjön tovább</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112. melléklet</w:t>
            </w:r>
          </w:p>
        </w:tc>
      </w:tr>
      <w:tr w:rsidR="004C0741" w:rsidRPr="00140995" w:rsidTr="004C0741">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113.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w:t>
            </w:r>
            <w:proofErr w:type="spellStart"/>
            <w:r>
              <w:t>cél-ÁÉKBV</w:t>
            </w:r>
            <w:proofErr w:type="spellEnd"/>
            <w:r>
              <w:t xml:space="preserve"> egyesülése vagy szétválása esetén a </w:t>
            </w:r>
            <w:proofErr w:type="spellStart"/>
            <w:r>
              <w:t>gyűjtő-ÁÉKBV</w:t>
            </w:r>
            <w:proofErr w:type="spellEnd"/>
            <w:r>
              <w:t xml:space="preserve"> nyilvántartásból való törlésére</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113. melléklet</w:t>
            </w:r>
          </w:p>
        </w:tc>
      </w:tr>
      <w:tr w:rsidR="004C0741" w:rsidRPr="00140995" w:rsidTr="004C0741">
        <w:trPr>
          <w:trHeight w:val="647"/>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114.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annak engedélyezésére, hogy a </w:t>
            </w:r>
            <w:proofErr w:type="spellStart"/>
            <w:r>
              <w:t>cél-ÁÉKBV</w:t>
            </w:r>
            <w:proofErr w:type="spellEnd"/>
            <w:r>
              <w:t xml:space="preserve"> a tervezett egyesülés átvevő </w:t>
            </w:r>
            <w:proofErr w:type="spellStart"/>
            <w:r>
              <w:t>ÁÉKBV-je</w:t>
            </w:r>
            <w:proofErr w:type="spellEnd"/>
            <w:r>
              <w:t xml:space="preserve"> legyen</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114. melléklet</w:t>
            </w:r>
          </w:p>
        </w:tc>
      </w:tr>
      <w:tr w:rsidR="004C0741" w:rsidRPr="00140995" w:rsidTr="004C0741">
        <w:trPr>
          <w:trHeight w:val="52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annak engedélyezésére, hogy a </w:t>
            </w:r>
            <w:proofErr w:type="spellStart"/>
            <w:r>
              <w:t>cél-ÁÉKBV</w:t>
            </w:r>
            <w:proofErr w:type="spellEnd"/>
            <w:r>
              <w:t xml:space="preserve"> a tervezett szétválás után létrejövő </w:t>
            </w:r>
            <w:proofErr w:type="spellStart"/>
            <w:r>
              <w:t>ÁÉKBV-k</w:t>
            </w:r>
            <w:proofErr w:type="spellEnd"/>
            <w:r>
              <w:t xml:space="preserve"> egyikeként lényegében változatlanul működjön t</w:t>
            </w:r>
            <w:r>
              <w:t>o</w:t>
            </w:r>
            <w:r>
              <w:t>vább</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115. melléklet</w:t>
            </w:r>
          </w:p>
        </w:tc>
      </w:tr>
      <w:tr w:rsidR="004C0741" w:rsidRPr="00140995" w:rsidTr="004C0741">
        <w:trPr>
          <w:trHeight w:val="55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annak a befektetésnek a jóváhagyására, hogy ha a </w:t>
            </w:r>
            <w:proofErr w:type="spellStart"/>
            <w:r>
              <w:t>cél-ÁÉKBV</w:t>
            </w:r>
            <w:proofErr w:type="spellEnd"/>
            <w:r>
              <w:t xml:space="preserve"> a beolvadó </w:t>
            </w:r>
            <w:proofErr w:type="spellStart"/>
            <w:r>
              <w:t>ÁÉKBV</w:t>
            </w:r>
            <w:proofErr w:type="spellEnd"/>
            <w:r>
              <w:t xml:space="preserve">, és az egyesülés következtében a gyűjtő </w:t>
            </w:r>
            <w:proofErr w:type="spellStart"/>
            <w:r>
              <w:t>ÁÉKBV</w:t>
            </w:r>
            <w:proofErr w:type="spellEnd"/>
            <w:r>
              <w:t xml:space="preserve"> az átvevő </w:t>
            </w:r>
            <w:proofErr w:type="spellStart"/>
            <w:r>
              <w:t>ÁÉKBV</w:t>
            </w:r>
            <w:proofErr w:type="spellEnd"/>
            <w:r>
              <w:t xml:space="preserve"> befektetőjévé válik</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116. melléklet</w:t>
            </w:r>
          </w:p>
        </w:tc>
      </w:tr>
      <w:tr w:rsidR="004C0741" w:rsidRPr="00140995" w:rsidTr="004C0741">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117.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annak engedélyezésére, ha a </w:t>
            </w:r>
            <w:proofErr w:type="spellStart"/>
            <w:r>
              <w:t>gyűjtő-ÁÉKBV</w:t>
            </w:r>
            <w:proofErr w:type="spellEnd"/>
            <w:r>
              <w:t xml:space="preserve"> a szétválás eredm</w:t>
            </w:r>
            <w:r>
              <w:t>é</w:t>
            </w:r>
            <w:r>
              <w:t xml:space="preserve">nyeként létrejövő olyan </w:t>
            </w:r>
            <w:proofErr w:type="spellStart"/>
            <w:r>
              <w:t>ÁÉKBV</w:t>
            </w:r>
            <w:proofErr w:type="spellEnd"/>
            <w:r>
              <w:t xml:space="preserve"> befektetővé válik, amely lényegesen külö</w:t>
            </w:r>
            <w:r>
              <w:t>n</w:t>
            </w:r>
            <w:r>
              <w:t xml:space="preserve">bözik a </w:t>
            </w:r>
            <w:proofErr w:type="spellStart"/>
            <w:r>
              <w:t>cél-ÁÉKBV-től</w:t>
            </w:r>
            <w:proofErr w:type="spellEnd"/>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117. melléklet</w:t>
            </w:r>
          </w:p>
        </w:tc>
      </w:tr>
      <w:tr w:rsidR="004C0741" w:rsidRPr="00140995" w:rsidTr="004C0741">
        <w:trPr>
          <w:trHeight w:val="56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118.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ha arra azért kerül sor esetében, mert az MNB az alapkezelő engedélyét visszavonta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118. melléklet</w:t>
            </w:r>
          </w:p>
        </w:tc>
      </w:tr>
      <w:tr w:rsidR="004C0741" w:rsidRPr="00140995" w:rsidTr="004C0741">
        <w:trPr>
          <w:trHeight w:val="55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119.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 befektetési </w:t>
            </w:r>
            <w:proofErr w:type="gramStart"/>
            <w:r>
              <w:t>alap nyilvántartásból</w:t>
            </w:r>
            <w:proofErr w:type="gramEnd"/>
            <w:r>
              <w:t xml:space="preserve"> való törlésére, ha arra azért kerül sor esetében, mert az MNB kötelezte a befektetési alapkezelőt a b</w:t>
            </w:r>
            <w:r>
              <w:t>e</w:t>
            </w:r>
            <w:r>
              <w:t>fektetési alap kezelésének átadására, azonban a befektetési alap kezelését egyetlen befektetési alapkezelő sem veszi át</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119. melléklet</w:t>
            </w:r>
          </w:p>
        </w:tc>
      </w:tr>
      <w:tr w:rsidR="004C0741" w:rsidRPr="00140995" w:rsidTr="004C0741">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120.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 xml:space="preserve">Kérelem arra, hogy az </w:t>
            </w:r>
            <w:proofErr w:type="spellStart"/>
            <w:r>
              <w:t>ABAK</w:t>
            </w:r>
            <w:proofErr w:type="spellEnd"/>
            <w:r>
              <w:t xml:space="preserve"> által kezelt más </w:t>
            </w:r>
            <w:proofErr w:type="spellStart"/>
            <w:r>
              <w:t>EGT-államban</w:t>
            </w:r>
            <w:proofErr w:type="spellEnd"/>
            <w:r>
              <w:t xml:space="preserve"> engedélyezett uniós ABA kollektív befektetési értékpapírjait Magyarországon lakossági befektetők számára is forgalmazhassa</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120. melléklet</w:t>
            </w:r>
          </w:p>
        </w:tc>
      </w:tr>
      <w:tr w:rsidR="004C0741" w:rsidRPr="00140995" w:rsidTr="004C0741">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121.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Űrlap a nyilvánosan működő befektetési alap kezelési szabályzata módos</w:t>
            </w:r>
            <w:r>
              <w:t>í</w:t>
            </w:r>
            <w:r>
              <w:t>tásának bemutatásához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121. melléklet</w:t>
            </w:r>
          </w:p>
        </w:tc>
      </w:tr>
      <w:tr w:rsidR="004C0741" w:rsidRPr="00140995" w:rsidTr="004C0741">
        <w:trPr>
          <w:trHeight w:val="983"/>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122.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Űrlap a hiánypótlás benyújtásához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122. melléklet</w:t>
            </w:r>
          </w:p>
        </w:tc>
      </w:tr>
      <w:tr w:rsidR="004C0741" w:rsidRPr="00140995" w:rsidTr="004C0741">
        <w:trPr>
          <w:trHeight w:val="9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123. </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Űrlap a kérelem vagy annak melléklete kiegészítéséhez vagy módosításához</w:t>
            </w:r>
          </w:p>
        </w:tc>
        <w:tc>
          <w:tcPr>
            <w:tcW w:w="0" w:type="auto"/>
            <w:tcBorders>
              <w:top w:val="single" w:sz="4" w:space="0" w:color="auto"/>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123. melléklet</w:t>
            </w:r>
          </w:p>
        </w:tc>
      </w:tr>
      <w:tr w:rsidR="004C0741" w:rsidRPr="00140995" w:rsidTr="004C0741">
        <w:trPr>
          <w:trHeight w:val="1564"/>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124.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Űrlap a tényállás tisztázásához szükséges nyilatkozattételhez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124. melléklet</w:t>
            </w:r>
          </w:p>
        </w:tc>
      </w:tr>
      <w:tr w:rsidR="004C0741" w:rsidRPr="00140995" w:rsidTr="004C0741">
        <w:trPr>
          <w:trHeight w:val="1826"/>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lastRenderedPageBreak/>
              <w:t xml:space="preserve">125.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Űrlap a kérelemben foglaltak alátámasztásához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125. melléklet</w:t>
            </w:r>
          </w:p>
        </w:tc>
      </w:tr>
      <w:tr w:rsidR="004C0741" w:rsidRPr="00140995" w:rsidTr="004C0741">
        <w:trPr>
          <w:trHeight w:val="1130"/>
        </w:trPr>
        <w:tc>
          <w:tcPr>
            <w:tcW w:w="0" w:type="auto"/>
            <w:tcBorders>
              <w:top w:val="nil"/>
              <w:left w:val="single" w:sz="4" w:space="0" w:color="auto"/>
              <w:bottom w:val="single" w:sz="4" w:space="0" w:color="auto"/>
              <w:right w:val="single" w:sz="4" w:space="0" w:color="auto"/>
            </w:tcBorders>
            <w:shd w:val="clear" w:color="000000" w:fill="FFFFFF"/>
            <w:vAlign w:val="center"/>
          </w:tcPr>
          <w:p w:rsidR="004C0741" w:rsidRPr="00140995" w:rsidRDefault="004C0741" w:rsidP="004C0741">
            <w:pPr>
              <w:spacing w:after="0" w:line="240" w:lineRule="auto"/>
              <w:jc w:val="center"/>
            </w:pPr>
            <w:r>
              <w:t xml:space="preserve">126. </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Űrlap egyéb beadvány benyújtásához</w:t>
            </w:r>
          </w:p>
        </w:tc>
        <w:tc>
          <w:tcPr>
            <w:tcW w:w="0" w:type="auto"/>
            <w:tcBorders>
              <w:top w:val="nil"/>
              <w:left w:val="nil"/>
              <w:bottom w:val="single" w:sz="4" w:space="0" w:color="auto"/>
              <w:right w:val="single" w:sz="4" w:space="0" w:color="auto"/>
            </w:tcBorders>
            <w:shd w:val="clear" w:color="auto" w:fill="auto"/>
            <w:vAlign w:val="center"/>
          </w:tcPr>
          <w:p w:rsidR="004C0741" w:rsidRPr="00140995" w:rsidRDefault="004C0741" w:rsidP="004C0741">
            <w:pPr>
              <w:spacing w:after="0" w:line="240" w:lineRule="auto"/>
              <w:jc w:val="center"/>
            </w:pPr>
            <w:r>
              <w:t>126. melléklet</w:t>
            </w:r>
          </w:p>
        </w:tc>
      </w:tr>
    </w:tbl>
    <w:p w:rsidR="0018619A" w:rsidRPr="0018619A" w:rsidRDefault="0018619A" w:rsidP="0018619A"/>
    <w:sectPr w:rsidR="0018619A" w:rsidRPr="0018619A" w:rsidSect="00CD6E8D">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56" w:rsidRDefault="00D70656">
      <w:r>
        <w:separator/>
      </w:r>
    </w:p>
  </w:endnote>
  <w:endnote w:type="continuationSeparator" w:id="0">
    <w:p w:rsidR="00D70656" w:rsidRDefault="00D7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6" w:rsidRPr="00AC6950" w:rsidRDefault="00D70656"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C071AD">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C071AD">
      <w:rPr>
        <w:noProof/>
        <w:sz w:val="18"/>
        <w:szCs w:val="18"/>
      </w:rPr>
      <w:t>12</w:t>
    </w:r>
    <w:r w:rsidRPr="00AC69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56" w:rsidRDefault="00D70656">
      <w:r>
        <w:separator/>
      </w:r>
    </w:p>
  </w:footnote>
  <w:footnote w:type="continuationSeparator" w:id="0">
    <w:p w:rsidR="00D70656" w:rsidRDefault="00D70656">
      <w:r>
        <w:continuationSeparator/>
      </w:r>
    </w:p>
  </w:footnote>
  <w:footnote w:id="1">
    <w:p w:rsidR="00D70656" w:rsidRDefault="00D70656" w:rsidP="00AD456D">
      <w:pPr>
        <w:pStyle w:val="Lbjegyzetszveg"/>
        <w:rPr>
          <w:rFonts w:ascii="New York" w:hAnsi="New York"/>
        </w:rPr>
      </w:pPr>
      <w:r>
        <w:rPr>
          <w:rStyle w:val="Lbjegyzet-hivatkozs"/>
        </w:rPr>
        <w:footnoteRef/>
      </w:r>
      <w:r>
        <w:t xml:space="preserve"> Ha a meghatalmazás konkrét ügyre vonatkozik és ismeri az ügy számát, </w:t>
      </w:r>
      <w:proofErr w:type="gramStart"/>
      <w:r>
        <w:t>kérjük</w:t>
      </w:r>
      <w:proofErr w:type="gramEnd"/>
      <w:r>
        <w:t xml:space="preserve"> ezt tüntesse fel a 2.1. pontban; egyéb esetben kérjük hivatkozzon az ügy típusának megfelelő, </w:t>
      </w:r>
      <w:r>
        <w:rPr>
          <w:rFonts w:ascii="New York" w:hAnsi="New York"/>
        </w:rPr>
        <w:t>az MNB honlapján megtalálható listából kiválasztható</w:t>
      </w:r>
      <w:r>
        <w:t xml:space="preserve"> elektronikus űrlap azonosítójára a 2.2 pontban. </w:t>
      </w:r>
    </w:p>
  </w:footnote>
  <w:footnote w:id="2">
    <w:p w:rsidR="00D70656" w:rsidRDefault="00D70656" w:rsidP="00AD456D">
      <w:pPr>
        <w:pStyle w:val="Lbjegyzetszveg"/>
      </w:pPr>
      <w:r>
        <w:rPr>
          <w:rStyle w:val="Lbjegyzet-hivatkozs"/>
        </w:rPr>
        <w:footnoteRef/>
      </w:r>
      <w:r>
        <w:t xml:space="preserve"> Attól függően, hogy a nyilatkozatban a Meghatalmazó a 3.3.1. vagy a 3.3.2. pontot jelöli meg, az adott eljárásban az iratokat az MNB – a </w:t>
      </w:r>
      <w:proofErr w:type="spellStart"/>
      <w:r>
        <w:t>Ket</w:t>
      </w:r>
      <w:proofErr w:type="spellEnd"/>
      <w:r>
        <w:t>. 40. § (7) bekezdésében foglaltakra figyelemmel – a jelen meghatalmazás alapján a Meghatalmazottnak (3.3.1) vagy a Meghatalmazónak (3.3.2) kézb</w:t>
      </w:r>
      <w:r>
        <w:t>e</w:t>
      </w:r>
      <w:r>
        <w:t xml:space="preserve">síti.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8561AF"/>
    <w:multiLevelType w:val="hybridMultilevel"/>
    <w:tmpl w:val="95C8A4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8"/>
  </w:num>
  <w:num w:numId="9">
    <w:abstractNumId w:val="7"/>
    <w:lvlOverride w:ilvl="0">
      <w:startOverride w:val="1"/>
    </w:lvlOverride>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6D"/>
    <w:rsid w:val="0000273C"/>
    <w:rsid w:val="00017B1B"/>
    <w:rsid w:val="0002498B"/>
    <w:rsid w:val="000250E6"/>
    <w:rsid w:val="00027695"/>
    <w:rsid w:val="00027B62"/>
    <w:rsid w:val="00033357"/>
    <w:rsid w:val="00035697"/>
    <w:rsid w:val="0005577F"/>
    <w:rsid w:val="00060148"/>
    <w:rsid w:val="00063216"/>
    <w:rsid w:val="0006374F"/>
    <w:rsid w:val="00064546"/>
    <w:rsid w:val="00067BE2"/>
    <w:rsid w:val="00067C0C"/>
    <w:rsid w:val="0008131E"/>
    <w:rsid w:val="00081934"/>
    <w:rsid w:val="000831EC"/>
    <w:rsid w:val="00087E97"/>
    <w:rsid w:val="0009189E"/>
    <w:rsid w:val="000A3A63"/>
    <w:rsid w:val="000A71F3"/>
    <w:rsid w:val="000C2918"/>
    <w:rsid w:val="000C701E"/>
    <w:rsid w:val="000C701F"/>
    <w:rsid w:val="000D1C8B"/>
    <w:rsid w:val="000D1E44"/>
    <w:rsid w:val="000D40AE"/>
    <w:rsid w:val="000D4F61"/>
    <w:rsid w:val="000D5F26"/>
    <w:rsid w:val="000E2CBD"/>
    <w:rsid w:val="000E4EE3"/>
    <w:rsid w:val="000F1771"/>
    <w:rsid w:val="000F2858"/>
    <w:rsid w:val="000F2AE0"/>
    <w:rsid w:val="000F30B8"/>
    <w:rsid w:val="000F68FE"/>
    <w:rsid w:val="001015E2"/>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195F"/>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37A7"/>
    <w:rsid w:val="004451FE"/>
    <w:rsid w:val="00453087"/>
    <w:rsid w:val="00455A38"/>
    <w:rsid w:val="00465939"/>
    <w:rsid w:val="0047029F"/>
    <w:rsid w:val="004729CE"/>
    <w:rsid w:val="00474131"/>
    <w:rsid w:val="0048183A"/>
    <w:rsid w:val="00491483"/>
    <w:rsid w:val="004919C2"/>
    <w:rsid w:val="00494C89"/>
    <w:rsid w:val="004A58E3"/>
    <w:rsid w:val="004A5F09"/>
    <w:rsid w:val="004B1A68"/>
    <w:rsid w:val="004C0741"/>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3B14"/>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27B3"/>
    <w:rsid w:val="0067570F"/>
    <w:rsid w:val="00681108"/>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70C0"/>
    <w:rsid w:val="00840065"/>
    <w:rsid w:val="00842BF8"/>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900"/>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D456D"/>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7D50"/>
    <w:rsid w:val="00BD0575"/>
    <w:rsid w:val="00BD12AC"/>
    <w:rsid w:val="00BD29BB"/>
    <w:rsid w:val="00BD75B8"/>
    <w:rsid w:val="00BE125E"/>
    <w:rsid w:val="00BE5440"/>
    <w:rsid w:val="00BE5843"/>
    <w:rsid w:val="00BF0359"/>
    <w:rsid w:val="00BF3AF0"/>
    <w:rsid w:val="00BF5A28"/>
    <w:rsid w:val="00C01E8F"/>
    <w:rsid w:val="00C0501F"/>
    <w:rsid w:val="00C06F2F"/>
    <w:rsid w:val="00C071AD"/>
    <w:rsid w:val="00C07885"/>
    <w:rsid w:val="00C136F8"/>
    <w:rsid w:val="00C146F6"/>
    <w:rsid w:val="00C1563C"/>
    <w:rsid w:val="00C17469"/>
    <w:rsid w:val="00C20799"/>
    <w:rsid w:val="00C22FB8"/>
    <w:rsid w:val="00C31F64"/>
    <w:rsid w:val="00C43AC5"/>
    <w:rsid w:val="00C51823"/>
    <w:rsid w:val="00C522BD"/>
    <w:rsid w:val="00C63F2A"/>
    <w:rsid w:val="00C64F11"/>
    <w:rsid w:val="00C7575B"/>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2D60"/>
    <w:rsid w:val="00D144FA"/>
    <w:rsid w:val="00D21043"/>
    <w:rsid w:val="00D265EF"/>
    <w:rsid w:val="00D2761D"/>
    <w:rsid w:val="00D463F1"/>
    <w:rsid w:val="00D524BB"/>
    <w:rsid w:val="00D531F1"/>
    <w:rsid w:val="00D561C8"/>
    <w:rsid w:val="00D57CCE"/>
    <w:rsid w:val="00D65E8E"/>
    <w:rsid w:val="00D6703D"/>
    <w:rsid w:val="00D70656"/>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2DE8"/>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E4050"/>
    <w:rsid w:val="00EE4149"/>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footnote reference" w:uiPriority="0"/>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9E3900"/>
    <w:pPr>
      <w:spacing w:after="150" w:line="276" w:lineRule="auto"/>
      <w:jc w:val="both"/>
    </w:pPr>
    <w:rPr>
      <w:rFonts w:ascii="Calibri" w:hAnsi="Calibri"/>
    </w:rPr>
  </w:style>
  <w:style w:type="paragraph" w:styleId="Cmsor1">
    <w:name w:val="heading 1"/>
    <w:basedOn w:val="Norml"/>
    <w:next w:val="Norml"/>
    <w:link w:val="Cmsor1Char"/>
    <w:uiPriority w:val="1"/>
    <w:qFormat/>
    <w:rsid w:val="009E3900"/>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9E3900"/>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9E3900"/>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9E3900"/>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9E3900"/>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9E3900"/>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semiHidden/>
    <w:unhideWhenUsed/>
    <w:qFormat/>
    <w:rsid w:val="009E3900"/>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E3900"/>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9E3900"/>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9E3900"/>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E3900"/>
  </w:style>
  <w:style w:type="table" w:customStyle="1" w:styleId="tblzat-mtrix">
    <w:name w:val="táblázat - mátrix"/>
    <w:basedOn w:val="Normltblzat"/>
    <w:uiPriority w:val="2"/>
    <w:qFormat/>
    <w:rsid w:val="009E3900"/>
    <w:pPr>
      <w:contextualSpacing/>
    </w:pPr>
    <w:rPr>
      <w:rFonts w:asciiTheme="majorHAnsi" w:eastAsia="Calibri" w:hAnsiTheme="majorHAnsi"/>
    </w:rPr>
    <w:tblPr>
      <w:tblStyleRowBandSize w:val="1"/>
      <w:tblStyleColBandSize w:val="1"/>
      <w:tblInd w:w="0" w:type="dxa"/>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9E3900"/>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E3900"/>
    <w:pPr>
      <w:numPr>
        <w:numId w:val="9"/>
      </w:numPr>
      <w:contextualSpacing/>
    </w:pPr>
  </w:style>
  <w:style w:type="character" w:styleId="Hiperhivatkozs">
    <w:name w:val="Hyperlink"/>
    <w:basedOn w:val="Vgjegyzet-hivatkozs"/>
    <w:uiPriority w:val="99"/>
    <w:rsid w:val="009E3900"/>
    <w:rPr>
      <w:rFonts w:ascii="Calibri" w:hAnsi="Calibri"/>
      <w:color w:val="0000FF"/>
      <w:sz w:val="20"/>
      <w:u w:val="single"/>
      <w:vertAlign w:val="superscript"/>
    </w:rPr>
  </w:style>
  <w:style w:type="table" w:customStyle="1" w:styleId="tblzat-oldallces">
    <w:name w:val="táblázat - oldalléces"/>
    <w:basedOn w:val="Normltblzat"/>
    <w:uiPriority w:val="3"/>
    <w:qFormat/>
    <w:rsid w:val="009E3900"/>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9E3900"/>
    <w:rPr>
      <w:vertAlign w:val="superscript"/>
    </w:rPr>
  </w:style>
  <w:style w:type="paragraph" w:styleId="Buborkszveg">
    <w:name w:val="Balloon Text"/>
    <w:basedOn w:val="Norml"/>
    <w:link w:val="BuborkszvegChar"/>
    <w:uiPriority w:val="99"/>
    <w:semiHidden/>
    <w:unhideWhenUsed/>
    <w:rsid w:val="009E3900"/>
    <w:rPr>
      <w:rFonts w:ascii="Tahoma" w:hAnsi="Tahoma" w:cs="Tahoma"/>
      <w:sz w:val="16"/>
      <w:szCs w:val="16"/>
    </w:rPr>
  </w:style>
  <w:style w:type="paragraph" w:customStyle="1" w:styleId="Magyarzszveg">
    <w:name w:val="Magyarázó szöveg"/>
    <w:basedOn w:val="Norml"/>
    <w:next w:val="Norml"/>
    <w:uiPriority w:val="7"/>
    <w:rsid w:val="009E3900"/>
    <w:rPr>
      <w:color w:val="202653" w:themeColor="accent5"/>
      <w:sz w:val="18"/>
    </w:rPr>
  </w:style>
  <w:style w:type="character" w:customStyle="1" w:styleId="BuborkszvegChar">
    <w:name w:val="Buborékszöveg Char"/>
    <w:basedOn w:val="Bekezdsalapbettpusa"/>
    <w:link w:val="Buborkszveg"/>
    <w:uiPriority w:val="99"/>
    <w:semiHidden/>
    <w:rsid w:val="009E3900"/>
    <w:rPr>
      <w:rFonts w:ascii="Tahoma" w:hAnsi="Tahoma" w:cs="Tahoma"/>
      <w:sz w:val="16"/>
      <w:szCs w:val="16"/>
    </w:rPr>
  </w:style>
  <w:style w:type="paragraph" w:styleId="lfej">
    <w:name w:val="header"/>
    <w:basedOn w:val="Norml"/>
    <w:link w:val="lfejChar"/>
    <w:uiPriority w:val="99"/>
    <w:unhideWhenUsed/>
    <w:rsid w:val="009E3900"/>
    <w:pPr>
      <w:tabs>
        <w:tab w:val="center" w:pos="4536"/>
        <w:tab w:val="right" w:pos="9072"/>
      </w:tabs>
    </w:pPr>
  </w:style>
  <w:style w:type="character" w:customStyle="1" w:styleId="lfejChar">
    <w:name w:val="Élőfej Char"/>
    <w:basedOn w:val="Bekezdsalapbettpusa"/>
    <w:link w:val="lfej"/>
    <w:uiPriority w:val="99"/>
    <w:rsid w:val="009E3900"/>
    <w:rPr>
      <w:rFonts w:ascii="Calibri" w:hAnsi="Calibri"/>
    </w:rPr>
  </w:style>
  <w:style w:type="paragraph" w:styleId="llb">
    <w:name w:val="footer"/>
    <w:basedOn w:val="Norml"/>
    <w:link w:val="llbChar"/>
    <w:uiPriority w:val="99"/>
    <w:unhideWhenUsed/>
    <w:rsid w:val="009E3900"/>
    <w:pPr>
      <w:tabs>
        <w:tab w:val="center" w:pos="4536"/>
        <w:tab w:val="right" w:pos="9072"/>
      </w:tabs>
    </w:pPr>
  </w:style>
  <w:style w:type="character" w:customStyle="1" w:styleId="llbChar">
    <w:name w:val="Élőláb Char"/>
    <w:basedOn w:val="Bekezdsalapbettpusa"/>
    <w:link w:val="llb"/>
    <w:uiPriority w:val="99"/>
    <w:rsid w:val="009E3900"/>
    <w:rPr>
      <w:rFonts w:ascii="Calibri" w:hAnsi="Calibri"/>
    </w:rPr>
  </w:style>
  <w:style w:type="paragraph" w:customStyle="1" w:styleId="Szmozs">
    <w:name w:val="Számozás"/>
    <w:basedOn w:val="Norml"/>
    <w:uiPriority w:val="4"/>
    <w:qFormat/>
    <w:rsid w:val="009E3900"/>
    <w:pPr>
      <w:numPr>
        <w:numId w:val="4"/>
      </w:numPr>
      <w:spacing w:before="120"/>
      <w:contextualSpacing/>
    </w:pPr>
  </w:style>
  <w:style w:type="table" w:styleId="Rcsostblzat">
    <w:name w:val="Table Grid"/>
    <w:aliases w:val="Szegély nélküli"/>
    <w:basedOn w:val="Normltblzat"/>
    <w:uiPriority w:val="59"/>
    <w:rsid w:val="009E3900"/>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9E3900"/>
    <w:rPr>
      <w:rFonts w:ascii="Calibri" w:hAnsi="Calibri"/>
      <w:iCs/>
      <w:color w:val="202653" w:themeColor="accent5"/>
      <w:szCs w:val="30"/>
    </w:rPr>
  </w:style>
  <w:style w:type="character" w:customStyle="1" w:styleId="Cmsor5Char">
    <w:name w:val="Címsor 5 Char"/>
    <w:basedOn w:val="Bekezdsalapbettpusa"/>
    <w:link w:val="Cmsor5"/>
    <w:uiPriority w:val="1"/>
    <w:rsid w:val="009E3900"/>
    <w:rPr>
      <w:rFonts w:ascii="Calibri" w:hAnsi="Calibri"/>
      <w:color w:val="202653" w:themeColor="accent5"/>
      <w:szCs w:val="26"/>
    </w:rPr>
  </w:style>
  <w:style w:type="character" w:customStyle="1" w:styleId="Cmsor6Char">
    <w:name w:val="Címsor 6 Char"/>
    <w:basedOn w:val="Bekezdsalapbettpusa"/>
    <w:link w:val="Cmsor6"/>
    <w:uiPriority w:val="1"/>
    <w:rsid w:val="009E3900"/>
    <w:rPr>
      <w:rFonts w:ascii="Calibri" w:hAnsi="Calibri"/>
      <w:color w:val="202653" w:themeColor="accent5"/>
    </w:rPr>
  </w:style>
  <w:style w:type="character" w:customStyle="1" w:styleId="Cmsor1Char">
    <w:name w:val="Címsor 1 Char"/>
    <w:basedOn w:val="Bekezdsalapbettpusa"/>
    <w:link w:val="Cmsor1"/>
    <w:uiPriority w:val="1"/>
    <w:rsid w:val="009E3900"/>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9E3900"/>
    <w:rPr>
      <w:rFonts w:ascii="Calibri" w:hAnsi="Calibri"/>
      <w:b/>
      <w:color w:val="202653" w:themeColor="accent5"/>
      <w:szCs w:val="38"/>
    </w:rPr>
  </w:style>
  <w:style w:type="character" w:customStyle="1" w:styleId="Cmsor3Char">
    <w:name w:val="Címsor 3 Char"/>
    <w:basedOn w:val="Bekezdsalapbettpusa"/>
    <w:link w:val="Cmsor3"/>
    <w:uiPriority w:val="1"/>
    <w:rsid w:val="009E3900"/>
    <w:rPr>
      <w:rFonts w:ascii="Calibri" w:hAnsi="Calibri"/>
      <w:bCs/>
      <w:color w:val="202653" w:themeColor="accent5"/>
      <w:szCs w:val="34"/>
    </w:rPr>
  </w:style>
  <w:style w:type="paragraph" w:styleId="Cm">
    <w:name w:val="Title"/>
    <w:basedOn w:val="Norml"/>
    <w:next w:val="Norml"/>
    <w:link w:val="CmChar"/>
    <w:uiPriority w:val="3"/>
    <w:qFormat/>
    <w:rsid w:val="009E3900"/>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9E3900"/>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9E3900"/>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9E3900"/>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9E3900"/>
    <w:rPr>
      <w:rFonts w:ascii="Calibri" w:eastAsiaTheme="majorEastAsia" w:hAnsi="Calibri" w:cstheme="majorBidi"/>
      <w:i/>
      <w:iCs/>
      <w:color w:val="404040" w:themeColor="text1" w:themeTint="BF"/>
      <w:szCs w:val="20"/>
    </w:rPr>
  </w:style>
  <w:style w:type="numbering" w:customStyle="1" w:styleId="Style1">
    <w:name w:val="Style1"/>
    <w:uiPriority w:val="99"/>
    <w:rsid w:val="009E3900"/>
    <w:pPr>
      <w:numPr>
        <w:numId w:val="1"/>
      </w:numPr>
    </w:pPr>
  </w:style>
  <w:style w:type="paragraph" w:styleId="TJ7">
    <w:name w:val="toc 7"/>
    <w:basedOn w:val="Norml"/>
    <w:next w:val="Norml"/>
    <w:autoRedefine/>
    <w:uiPriority w:val="99"/>
    <w:semiHidden/>
    <w:locked/>
    <w:rsid w:val="009E3900"/>
    <w:pPr>
      <w:spacing w:after="100"/>
      <w:ind w:left="1200"/>
    </w:pPr>
    <w:rPr>
      <w:color w:val="295A7E" w:themeColor="accent6" w:themeShade="80"/>
    </w:rPr>
  </w:style>
  <w:style w:type="paragraph" w:styleId="TJ8">
    <w:name w:val="toc 8"/>
    <w:basedOn w:val="Norml"/>
    <w:next w:val="Norml"/>
    <w:autoRedefine/>
    <w:uiPriority w:val="99"/>
    <w:semiHidden/>
    <w:locked/>
    <w:rsid w:val="009E3900"/>
    <w:pPr>
      <w:spacing w:after="100"/>
      <w:ind w:left="1400"/>
    </w:pPr>
    <w:rPr>
      <w:color w:val="295A7E" w:themeColor="accent6" w:themeShade="80"/>
    </w:rPr>
  </w:style>
  <w:style w:type="paragraph" w:styleId="TJ9">
    <w:name w:val="toc 9"/>
    <w:basedOn w:val="Norml"/>
    <w:next w:val="Norml"/>
    <w:autoRedefine/>
    <w:uiPriority w:val="99"/>
    <w:semiHidden/>
    <w:locked/>
    <w:rsid w:val="009E3900"/>
    <w:pPr>
      <w:spacing w:after="100"/>
      <w:ind w:left="1600"/>
    </w:pPr>
    <w:rPr>
      <w:color w:val="295A7E" w:themeColor="accent6" w:themeShade="80"/>
    </w:rPr>
  </w:style>
  <w:style w:type="table" w:customStyle="1" w:styleId="Calendar2">
    <w:name w:val="Calendar 2"/>
    <w:basedOn w:val="Normltblzat"/>
    <w:uiPriority w:val="99"/>
    <w:qFormat/>
    <w:rsid w:val="009E3900"/>
    <w:pPr>
      <w:jc w:val="center"/>
    </w:pPr>
    <w:rPr>
      <w:rFonts w:eastAsiaTheme="minorEastAsia"/>
      <w:szCs w:val="28"/>
      <w:lang w:val="en-US" w:eastAsia="en-US" w:bidi="en-US"/>
    </w:rPr>
    <w:tblPr>
      <w:tblInd w:w="0" w:type="dxa"/>
      <w:tblBorders>
        <w:insideV w:val="single" w:sz="4" w:space="0" w:color="D7A85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9E3900"/>
    <w:rPr>
      <w:rFonts w:eastAsiaTheme="minorEastAsia"/>
      <w:color w:val="898D8D" w:themeColor="text2"/>
      <w:sz w:val="16"/>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9E3900"/>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9E390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E3900"/>
    <w:rPr>
      <w:rFonts w:eastAsiaTheme="minorEastAsia"/>
      <w:color w:val="5E4415" w:themeColor="accent1" w:themeShade="BF"/>
      <w:lang w:eastAsia="en-US"/>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9E3900"/>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9E3900"/>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9E3900"/>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9E3900"/>
    <w:rPr>
      <w:color w:val="5E4415" w:themeColor="accent1" w:themeShade="BF"/>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9E3900"/>
    <w:pPr>
      <w:numPr>
        <w:numId w:val="5"/>
      </w:numPr>
    </w:pPr>
  </w:style>
  <w:style w:type="paragraph" w:customStyle="1" w:styleId="Tblaszvegstlus">
    <w:name w:val="Tábla szöveg stílus"/>
    <w:basedOn w:val="Norml"/>
    <w:link w:val="TblaszvegstlusChar"/>
    <w:uiPriority w:val="8"/>
    <w:qFormat/>
    <w:rsid w:val="009E3900"/>
  </w:style>
  <w:style w:type="character" w:customStyle="1" w:styleId="ListaszerbekezdsChar">
    <w:name w:val="Listaszerű bekezdés Char"/>
    <w:basedOn w:val="Bekezdsalapbettpusa"/>
    <w:link w:val="Listaszerbekezds"/>
    <w:uiPriority w:val="4"/>
    <w:rsid w:val="009E3900"/>
    <w:rPr>
      <w:rFonts w:ascii="Calibri" w:hAnsi="Calibri"/>
    </w:rPr>
  </w:style>
  <w:style w:type="character" w:customStyle="1" w:styleId="Listaszerbekezds2Char">
    <w:name w:val="Listaszerű bekezdés 2 Char"/>
    <w:basedOn w:val="ListaszerbekezdsChar"/>
    <w:link w:val="Listaszerbekezds2"/>
    <w:uiPriority w:val="4"/>
    <w:rsid w:val="009E3900"/>
    <w:rPr>
      <w:rFonts w:ascii="Calibri" w:hAnsi="Calibri"/>
    </w:rPr>
  </w:style>
  <w:style w:type="character" w:customStyle="1" w:styleId="TblaszvegstlusChar">
    <w:name w:val="Tábla szöveg stílus Char"/>
    <w:basedOn w:val="Bekezdsalapbettpusa"/>
    <w:link w:val="Tblaszvegstlus"/>
    <w:uiPriority w:val="8"/>
    <w:rsid w:val="009E3900"/>
    <w:rPr>
      <w:rFonts w:ascii="Calibri" w:hAnsi="Calibri"/>
    </w:rPr>
  </w:style>
  <w:style w:type="character" w:styleId="Finomhivatkozs">
    <w:name w:val="Subtle Reference"/>
    <w:basedOn w:val="Bekezdsalapbettpusa"/>
    <w:uiPriority w:val="31"/>
    <w:rsid w:val="009E3900"/>
    <w:rPr>
      <w:sz w:val="24"/>
      <w:szCs w:val="24"/>
      <w:u w:val="single"/>
    </w:rPr>
  </w:style>
  <w:style w:type="character" w:styleId="Ershivatkozs">
    <w:name w:val="Intense Reference"/>
    <w:basedOn w:val="Bekezdsalapbettpusa"/>
    <w:uiPriority w:val="32"/>
    <w:rsid w:val="009E3900"/>
    <w:rPr>
      <w:b/>
      <w:sz w:val="24"/>
      <w:u w:val="single"/>
    </w:rPr>
  </w:style>
  <w:style w:type="paragraph" w:customStyle="1" w:styleId="Listaszerbekezds2szint">
    <w:name w:val="Listaszerű bekezdés 2. szint"/>
    <w:basedOn w:val="Listaszerbekezds"/>
    <w:link w:val="Listaszerbekezds2szintChar"/>
    <w:uiPriority w:val="4"/>
    <w:qFormat/>
    <w:rsid w:val="009E3900"/>
    <w:pPr>
      <w:numPr>
        <w:numId w:val="8"/>
      </w:numPr>
    </w:pPr>
  </w:style>
  <w:style w:type="paragraph" w:customStyle="1" w:styleId="Listaszerbekezds3szint">
    <w:name w:val="Listaszerű bekezdés 3. szint"/>
    <w:basedOn w:val="Listaszerbekezds"/>
    <w:link w:val="Listaszerbekezds3szintChar"/>
    <w:uiPriority w:val="4"/>
    <w:qFormat/>
    <w:rsid w:val="009E3900"/>
    <w:pPr>
      <w:numPr>
        <w:ilvl w:val="2"/>
      </w:numPr>
    </w:pPr>
  </w:style>
  <w:style w:type="character" w:customStyle="1" w:styleId="Listaszerbekezds2szintChar">
    <w:name w:val="Listaszerű bekezdés 2. szint Char"/>
    <w:basedOn w:val="ListaszerbekezdsChar"/>
    <w:link w:val="Listaszerbekezds2szint"/>
    <w:uiPriority w:val="4"/>
    <w:rsid w:val="009E3900"/>
    <w:rPr>
      <w:rFonts w:ascii="Calibri" w:hAnsi="Calibri"/>
    </w:rPr>
  </w:style>
  <w:style w:type="character" w:customStyle="1" w:styleId="Listaszerbekezds3szintChar">
    <w:name w:val="Listaszerű bekezdés 3. szint Char"/>
    <w:basedOn w:val="ListaszerbekezdsChar"/>
    <w:link w:val="Listaszerbekezds3szint"/>
    <w:uiPriority w:val="4"/>
    <w:rsid w:val="009E3900"/>
    <w:rPr>
      <w:rFonts w:ascii="Calibri" w:hAnsi="Calibri"/>
    </w:rPr>
  </w:style>
  <w:style w:type="paragraph" w:styleId="Alcm">
    <w:name w:val="Subtitle"/>
    <w:basedOn w:val="Norml"/>
    <w:next w:val="Norml"/>
    <w:link w:val="AlcmChar"/>
    <w:uiPriority w:val="11"/>
    <w:rsid w:val="009E3900"/>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9E3900"/>
    <w:rPr>
      <w:rFonts w:ascii="Calibri" w:eastAsiaTheme="majorEastAsia" w:hAnsi="Calibri" w:cstheme="majorBidi"/>
    </w:rPr>
  </w:style>
  <w:style w:type="paragraph" w:customStyle="1" w:styleId="Listabetvel">
    <w:name w:val="Lista betűvel"/>
    <w:basedOn w:val="Listaszerbekezds"/>
    <w:link w:val="ListabetvelChar"/>
    <w:uiPriority w:val="4"/>
    <w:qFormat/>
    <w:rsid w:val="009E3900"/>
    <w:pPr>
      <w:numPr>
        <w:numId w:val="7"/>
      </w:numPr>
    </w:pPr>
  </w:style>
  <w:style w:type="character" w:customStyle="1" w:styleId="ListabetvelChar">
    <w:name w:val="Lista betűvel Char"/>
    <w:basedOn w:val="ListaszerbekezdsChar"/>
    <w:link w:val="Listabetvel"/>
    <w:uiPriority w:val="4"/>
    <w:rsid w:val="009E3900"/>
    <w:rPr>
      <w:rFonts w:ascii="Calibri" w:hAnsi="Calibri"/>
    </w:rPr>
  </w:style>
  <w:style w:type="paragraph" w:customStyle="1" w:styleId="Erskiemels">
    <w:name w:val="Erős kiemelés"/>
    <w:basedOn w:val="Norml"/>
    <w:link w:val="ErskiemelsChar"/>
    <w:uiPriority w:val="5"/>
    <w:qFormat/>
    <w:rsid w:val="009E3900"/>
    <w:rPr>
      <w:b/>
      <w:i/>
    </w:rPr>
  </w:style>
  <w:style w:type="character" w:customStyle="1" w:styleId="ErskiemelsChar">
    <w:name w:val="Erős kiemelés Char"/>
    <w:basedOn w:val="Bekezdsalapbettpusa"/>
    <w:link w:val="Erskiemels"/>
    <w:uiPriority w:val="5"/>
    <w:rsid w:val="009E3900"/>
    <w:rPr>
      <w:rFonts w:ascii="Calibri" w:hAnsi="Calibri"/>
      <w:b/>
      <w:i/>
    </w:rPr>
  </w:style>
  <w:style w:type="paragraph" w:customStyle="1" w:styleId="Bold">
    <w:name w:val="Bold"/>
    <w:basedOn w:val="Norml"/>
    <w:link w:val="BoldChar"/>
    <w:uiPriority w:val="6"/>
    <w:qFormat/>
    <w:rsid w:val="009E3900"/>
    <w:rPr>
      <w:b/>
    </w:rPr>
  </w:style>
  <w:style w:type="character" w:customStyle="1" w:styleId="BoldChar">
    <w:name w:val="Bold Char"/>
    <w:basedOn w:val="Bekezdsalapbettpusa"/>
    <w:link w:val="Bold"/>
    <w:uiPriority w:val="6"/>
    <w:rsid w:val="009E3900"/>
    <w:rPr>
      <w:rFonts w:ascii="Calibri" w:hAnsi="Calibri"/>
      <w:b/>
    </w:rPr>
  </w:style>
  <w:style w:type="character" w:styleId="Mrltotthiperhivatkozs">
    <w:name w:val="FollowedHyperlink"/>
    <w:basedOn w:val="Bekezdsalapbettpusa"/>
    <w:uiPriority w:val="99"/>
    <w:semiHidden/>
    <w:unhideWhenUsed/>
    <w:rsid w:val="009E3900"/>
    <w:rPr>
      <w:color w:val="7BAFD4" w:themeColor="followedHyperlink"/>
      <w:u w:val="single"/>
    </w:rPr>
  </w:style>
  <w:style w:type="paragraph" w:styleId="Tartalomjegyzkcmsora">
    <w:name w:val="TOC Heading"/>
    <w:basedOn w:val="Cmsor1"/>
    <w:next w:val="Norml"/>
    <w:uiPriority w:val="39"/>
    <w:unhideWhenUsed/>
    <w:qFormat/>
    <w:rsid w:val="009E3900"/>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9E3900"/>
    <w:pPr>
      <w:spacing w:after="100"/>
      <w:ind w:left="220"/>
      <w:jc w:val="left"/>
    </w:pPr>
    <w:rPr>
      <w:rFonts w:eastAsiaTheme="minorEastAsia"/>
    </w:rPr>
  </w:style>
  <w:style w:type="paragraph" w:styleId="TJ1">
    <w:name w:val="toc 1"/>
    <w:basedOn w:val="Norml"/>
    <w:next w:val="Norml"/>
    <w:autoRedefine/>
    <w:uiPriority w:val="39"/>
    <w:unhideWhenUsed/>
    <w:qFormat/>
    <w:locked/>
    <w:rsid w:val="009E3900"/>
    <w:pPr>
      <w:spacing w:after="100"/>
      <w:jc w:val="left"/>
    </w:pPr>
    <w:rPr>
      <w:rFonts w:eastAsiaTheme="minorEastAsia"/>
    </w:rPr>
  </w:style>
  <w:style w:type="paragraph" w:styleId="TJ3">
    <w:name w:val="toc 3"/>
    <w:basedOn w:val="Norml"/>
    <w:next w:val="Norml"/>
    <w:uiPriority w:val="39"/>
    <w:unhideWhenUsed/>
    <w:qFormat/>
    <w:locked/>
    <w:rsid w:val="009E3900"/>
    <w:pPr>
      <w:spacing w:after="100"/>
      <w:ind w:left="400"/>
    </w:pPr>
  </w:style>
  <w:style w:type="paragraph" w:customStyle="1" w:styleId="StyleTOC2Left015">
    <w:name w:val="Style TOC 2 + Left:  0.15&quot;"/>
    <w:basedOn w:val="TJ2"/>
    <w:rsid w:val="009E3900"/>
    <w:pPr>
      <w:ind w:left="216"/>
    </w:pPr>
    <w:rPr>
      <w:rFonts w:eastAsia="Times New Roman" w:cs="Times New Roman"/>
      <w:szCs w:val="20"/>
    </w:rPr>
  </w:style>
  <w:style w:type="paragraph" w:customStyle="1" w:styleId="StyleTOC3Left031">
    <w:name w:val="Style TOC 3 + Left:  0.31&quot;"/>
    <w:basedOn w:val="TJ3"/>
    <w:rsid w:val="009E3900"/>
    <w:pPr>
      <w:ind w:left="446"/>
    </w:pPr>
    <w:rPr>
      <w:rFonts w:eastAsia="Times New Roman" w:cs="Times New Roman"/>
      <w:szCs w:val="20"/>
    </w:rPr>
  </w:style>
  <w:style w:type="numbering" w:customStyle="1" w:styleId="Hierarchikuslista">
    <w:name w:val="Hierarchikus lista"/>
    <w:uiPriority w:val="99"/>
    <w:rsid w:val="009E3900"/>
    <w:pPr>
      <w:numPr>
        <w:numId w:val="2"/>
      </w:numPr>
    </w:pPr>
  </w:style>
  <w:style w:type="paragraph" w:customStyle="1" w:styleId="HierarchikusLista0">
    <w:name w:val="Hierarchikus Lista"/>
    <w:basedOn w:val="Listaszerbekezds"/>
    <w:link w:val="HierarchikusListaChar"/>
    <w:qFormat/>
    <w:rsid w:val="009E3900"/>
    <w:pPr>
      <w:numPr>
        <w:numId w:val="0"/>
      </w:numPr>
    </w:pPr>
  </w:style>
  <w:style w:type="character" w:customStyle="1" w:styleId="HierarchikusListaChar">
    <w:name w:val="Hierarchikus Lista Char"/>
    <w:basedOn w:val="ListaszerbekezdsChar"/>
    <w:link w:val="HierarchikusLista0"/>
    <w:rsid w:val="009E3900"/>
    <w:rPr>
      <w:rFonts w:ascii="Calibri" w:hAnsi="Calibri"/>
    </w:rPr>
  </w:style>
  <w:style w:type="character" w:styleId="Kiemels2">
    <w:name w:val="Strong"/>
    <w:basedOn w:val="Bekezdsalapbettpusa"/>
    <w:uiPriority w:val="22"/>
    <w:rsid w:val="009E3900"/>
    <w:rPr>
      <w:b/>
      <w:bCs/>
    </w:rPr>
  </w:style>
  <w:style w:type="character" w:styleId="Kiemels">
    <w:name w:val="Emphasis"/>
    <w:basedOn w:val="Bekezdsalapbettpusa"/>
    <w:uiPriority w:val="6"/>
    <w:qFormat/>
    <w:rsid w:val="009E3900"/>
    <w:rPr>
      <w:i/>
      <w:iCs/>
    </w:rPr>
  </w:style>
  <w:style w:type="paragraph" w:styleId="Nincstrkz">
    <w:name w:val="No Spacing"/>
    <w:basedOn w:val="Norml"/>
    <w:uiPriority w:val="1"/>
    <w:rsid w:val="009E3900"/>
    <w:rPr>
      <w:szCs w:val="32"/>
    </w:rPr>
  </w:style>
  <w:style w:type="paragraph" w:styleId="Idzet">
    <w:name w:val="Quote"/>
    <w:basedOn w:val="Norml"/>
    <w:next w:val="Norml"/>
    <w:link w:val="IdzetChar"/>
    <w:uiPriority w:val="29"/>
    <w:rsid w:val="009E3900"/>
    <w:rPr>
      <w:i/>
    </w:rPr>
  </w:style>
  <w:style w:type="character" w:customStyle="1" w:styleId="IdzetChar">
    <w:name w:val="Idézet Char"/>
    <w:basedOn w:val="Bekezdsalapbettpusa"/>
    <w:link w:val="Idzet"/>
    <w:uiPriority w:val="29"/>
    <w:rsid w:val="009E3900"/>
    <w:rPr>
      <w:rFonts w:ascii="Calibri" w:hAnsi="Calibri"/>
      <w:i/>
    </w:rPr>
  </w:style>
  <w:style w:type="paragraph" w:styleId="Kiemeltidzet">
    <w:name w:val="Intense Quote"/>
    <w:basedOn w:val="Norml"/>
    <w:next w:val="Norml"/>
    <w:link w:val="KiemeltidzetChar"/>
    <w:uiPriority w:val="30"/>
    <w:rsid w:val="009E3900"/>
    <w:pPr>
      <w:ind w:left="720" w:right="720"/>
    </w:pPr>
    <w:rPr>
      <w:b/>
      <w:i/>
    </w:rPr>
  </w:style>
  <w:style w:type="character" w:customStyle="1" w:styleId="KiemeltidzetChar">
    <w:name w:val="Kiemelt idézet Char"/>
    <w:basedOn w:val="Bekezdsalapbettpusa"/>
    <w:link w:val="Kiemeltidzet"/>
    <w:uiPriority w:val="30"/>
    <w:rsid w:val="009E3900"/>
    <w:rPr>
      <w:rFonts w:ascii="Calibri" w:hAnsi="Calibri"/>
      <w:b/>
      <w:i/>
    </w:rPr>
  </w:style>
  <w:style w:type="character" w:styleId="Ershangslyozs">
    <w:name w:val="Intense Emphasis"/>
    <w:basedOn w:val="Bekezdsalapbettpusa"/>
    <w:uiPriority w:val="21"/>
    <w:rsid w:val="009E3900"/>
    <w:rPr>
      <w:b/>
      <w:i/>
      <w:sz w:val="24"/>
      <w:szCs w:val="24"/>
      <w:u w:val="single"/>
    </w:rPr>
  </w:style>
  <w:style w:type="character" w:styleId="Knyvcme">
    <w:name w:val="Book Title"/>
    <w:basedOn w:val="Bekezdsalapbettpusa"/>
    <w:uiPriority w:val="33"/>
    <w:rsid w:val="009E3900"/>
    <w:rPr>
      <w:rFonts w:ascii="Calibri" w:eastAsiaTheme="majorEastAsia" w:hAnsi="Calibri"/>
      <w:b/>
      <w:i/>
      <w:sz w:val="24"/>
      <w:szCs w:val="24"/>
    </w:rPr>
  </w:style>
  <w:style w:type="paragraph" w:customStyle="1" w:styleId="Szvegdobozstlus">
    <w:name w:val="Szövegdoboz stílus"/>
    <w:basedOn w:val="HierarchikusLista0"/>
    <w:qFormat/>
    <w:rsid w:val="009E3900"/>
    <w:rPr>
      <w:b/>
      <w:i/>
      <w:color w:val="7E5C1D" w:themeColor="accent1"/>
    </w:rPr>
  </w:style>
  <w:style w:type="table" w:customStyle="1" w:styleId="Rcsos">
    <w:name w:val="Rácsos"/>
    <w:basedOn w:val="Normltblzat"/>
    <w:uiPriority w:val="99"/>
    <w:rsid w:val="009E3900"/>
    <w:rPr>
      <w:rFonts w:asciiTheme="majorHAnsi" w:hAnsiTheme="majorHAnsi"/>
      <w:color w:val="202653" w:themeColor="accent5"/>
    </w:rPr>
    <w:tblPr>
      <w:tblStyleRowBandSize w:val="1"/>
      <w:tblStyleColBandSize w:val="1"/>
      <w:tblInd w:w="0" w:type="dxa"/>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basedOn w:val="Bekezdsalapbettpusa"/>
    <w:rsid w:val="00AD456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footnote reference" w:uiPriority="0"/>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9E3900"/>
    <w:pPr>
      <w:spacing w:after="150" w:line="276" w:lineRule="auto"/>
      <w:jc w:val="both"/>
    </w:pPr>
    <w:rPr>
      <w:rFonts w:ascii="Calibri" w:hAnsi="Calibri"/>
    </w:rPr>
  </w:style>
  <w:style w:type="paragraph" w:styleId="Cmsor1">
    <w:name w:val="heading 1"/>
    <w:basedOn w:val="Norml"/>
    <w:next w:val="Norml"/>
    <w:link w:val="Cmsor1Char"/>
    <w:uiPriority w:val="1"/>
    <w:qFormat/>
    <w:rsid w:val="009E3900"/>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9E3900"/>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9E3900"/>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9E3900"/>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9E3900"/>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9E3900"/>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semiHidden/>
    <w:unhideWhenUsed/>
    <w:qFormat/>
    <w:rsid w:val="009E3900"/>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E3900"/>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9E3900"/>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9E3900"/>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E3900"/>
  </w:style>
  <w:style w:type="table" w:customStyle="1" w:styleId="tblzat-mtrix">
    <w:name w:val="táblázat - mátrix"/>
    <w:basedOn w:val="Normltblzat"/>
    <w:uiPriority w:val="2"/>
    <w:qFormat/>
    <w:rsid w:val="009E3900"/>
    <w:pPr>
      <w:contextualSpacing/>
    </w:pPr>
    <w:rPr>
      <w:rFonts w:asciiTheme="majorHAnsi" w:eastAsia="Calibri" w:hAnsiTheme="majorHAnsi"/>
    </w:rPr>
    <w:tblPr>
      <w:tblStyleRowBandSize w:val="1"/>
      <w:tblStyleColBandSize w:val="1"/>
      <w:tblInd w:w="0" w:type="dxa"/>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9E3900"/>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E3900"/>
    <w:pPr>
      <w:numPr>
        <w:numId w:val="9"/>
      </w:numPr>
      <w:contextualSpacing/>
    </w:pPr>
  </w:style>
  <w:style w:type="character" w:styleId="Hiperhivatkozs">
    <w:name w:val="Hyperlink"/>
    <w:basedOn w:val="Vgjegyzet-hivatkozs"/>
    <w:uiPriority w:val="99"/>
    <w:rsid w:val="009E3900"/>
    <w:rPr>
      <w:rFonts w:ascii="Calibri" w:hAnsi="Calibri"/>
      <w:color w:val="0000FF"/>
      <w:sz w:val="20"/>
      <w:u w:val="single"/>
      <w:vertAlign w:val="superscript"/>
    </w:rPr>
  </w:style>
  <w:style w:type="table" w:customStyle="1" w:styleId="tblzat-oldallces">
    <w:name w:val="táblázat - oldalléces"/>
    <w:basedOn w:val="Normltblzat"/>
    <w:uiPriority w:val="3"/>
    <w:qFormat/>
    <w:rsid w:val="009E3900"/>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9E3900"/>
    <w:rPr>
      <w:vertAlign w:val="superscript"/>
    </w:rPr>
  </w:style>
  <w:style w:type="paragraph" w:styleId="Buborkszveg">
    <w:name w:val="Balloon Text"/>
    <w:basedOn w:val="Norml"/>
    <w:link w:val="BuborkszvegChar"/>
    <w:uiPriority w:val="99"/>
    <w:semiHidden/>
    <w:unhideWhenUsed/>
    <w:rsid w:val="009E3900"/>
    <w:rPr>
      <w:rFonts w:ascii="Tahoma" w:hAnsi="Tahoma" w:cs="Tahoma"/>
      <w:sz w:val="16"/>
      <w:szCs w:val="16"/>
    </w:rPr>
  </w:style>
  <w:style w:type="paragraph" w:customStyle="1" w:styleId="Magyarzszveg">
    <w:name w:val="Magyarázó szöveg"/>
    <w:basedOn w:val="Norml"/>
    <w:next w:val="Norml"/>
    <w:uiPriority w:val="7"/>
    <w:rsid w:val="009E3900"/>
    <w:rPr>
      <w:color w:val="202653" w:themeColor="accent5"/>
      <w:sz w:val="18"/>
    </w:rPr>
  </w:style>
  <w:style w:type="character" w:customStyle="1" w:styleId="BuborkszvegChar">
    <w:name w:val="Buborékszöveg Char"/>
    <w:basedOn w:val="Bekezdsalapbettpusa"/>
    <w:link w:val="Buborkszveg"/>
    <w:uiPriority w:val="99"/>
    <w:semiHidden/>
    <w:rsid w:val="009E3900"/>
    <w:rPr>
      <w:rFonts w:ascii="Tahoma" w:hAnsi="Tahoma" w:cs="Tahoma"/>
      <w:sz w:val="16"/>
      <w:szCs w:val="16"/>
    </w:rPr>
  </w:style>
  <w:style w:type="paragraph" w:styleId="lfej">
    <w:name w:val="header"/>
    <w:basedOn w:val="Norml"/>
    <w:link w:val="lfejChar"/>
    <w:uiPriority w:val="99"/>
    <w:unhideWhenUsed/>
    <w:rsid w:val="009E3900"/>
    <w:pPr>
      <w:tabs>
        <w:tab w:val="center" w:pos="4536"/>
        <w:tab w:val="right" w:pos="9072"/>
      </w:tabs>
    </w:pPr>
  </w:style>
  <w:style w:type="character" w:customStyle="1" w:styleId="lfejChar">
    <w:name w:val="Élőfej Char"/>
    <w:basedOn w:val="Bekezdsalapbettpusa"/>
    <w:link w:val="lfej"/>
    <w:uiPriority w:val="99"/>
    <w:rsid w:val="009E3900"/>
    <w:rPr>
      <w:rFonts w:ascii="Calibri" w:hAnsi="Calibri"/>
    </w:rPr>
  </w:style>
  <w:style w:type="paragraph" w:styleId="llb">
    <w:name w:val="footer"/>
    <w:basedOn w:val="Norml"/>
    <w:link w:val="llbChar"/>
    <w:uiPriority w:val="99"/>
    <w:unhideWhenUsed/>
    <w:rsid w:val="009E3900"/>
    <w:pPr>
      <w:tabs>
        <w:tab w:val="center" w:pos="4536"/>
        <w:tab w:val="right" w:pos="9072"/>
      </w:tabs>
    </w:pPr>
  </w:style>
  <w:style w:type="character" w:customStyle="1" w:styleId="llbChar">
    <w:name w:val="Élőláb Char"/>
    <w:basedOn w:val="Bekezdsalapbettpusa"/>
    <w:link w:val="llb"/>
    <w:uiPriority w:val="99"/>
    <w:rsid w:val="009E3900"/>
    <w:rPr>
      <w:rFonts w:ascii="Calibri" w:hAnsi="Calibri"/>
    </w:rPr>
  </w:style>
  <w:style w:type="paragraph" w:customStyle="1" w:styleId="Szmozs">
    <w:name w:val="Számozás"/>
    <w:basedOn w:val="Norml"/>
    <w:uiPriority w:val="4"/>
    <w:qFormat/>
    <w:rsid w:val="009E3900"/>
    <w:pPr>
      <w:numPr>
        <w:numId w:val="4"/>
      </w:numPr>
      <w:spacing w:before="120"/>
      <w:contextualSpacing/>
    </w:pPr>
  </w:style>
  <w:style w:type="table" w:styleId="Rcsostblzat">
    <w:name w:val="Table Grid"/>
    <w:aliases w:val="Szegély nélküli"/>
    <w:basedOn w:val="Normltblzat"/>
    <w:uiPriority w:val="59"/>
    <w:rsid w:val="009E3900"/>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9E3900"/>
    <w:rPr>
      <w:rFonts w:ascii="Calibri" w:hAnsi="Calibri"/>
      <w:iCs/>
      <w:color w:val="202653" w:themeColor="accent5"/>
      <w:szCs w:val="30"/>
    </w:rPr>
  </w:style>
  <w:style w:type="character" w:customStyle="1" w:styleId="Cmsor5Char">
    <w:name w:val="Címsor 5 Char"/>
    <w:basedOn w:val="Bekezdsalapbettpusa"/>
    <w:link w:val="Cmsor5"/>
    <w:uiPriority w:val="1"/>
    <w:rsid w:val="009E3900"/>
    <w:rPr>
      <w:rFonts w:ascii="Calibri" w:hAnsi="Calibri"/>
      <w:color w:val="202653" w:themeColor="accent5"/>
      <w:szCs w:val="26"/>
    </w:rPr>
  </w:style>
  <w:style w:type="character" w:customStyle="1" w:styleId="Cmsor6Char">
    <w:name w:val="Címsor 6 Char"/>
    <w:basedOn w:val="Bekezdsalapbettpusa"/>
    <w:link w:val="Cmsor6"/>
    <w:uiPriority w:val="1"/>
    <w:rsid w:val="009E3900"/>
    <w:rPr>
      <w:rFonts w:ascii="Calibri" w:hAnsi="Calibri"/>
      <w:color w:val="202653" w:themeColor="accent5"/>
    </w:rPr>
  </w:style>
  <w:style w:type="character" w:customStyle="1" w:styleId="Cmsor1Char">
    <w:name w:val="Címsor 1 Char"/>
    <w:basedOn w:val="Bekezdsalapbettpusa"/>
    <w:link w:val="Cmsor1"/>
    <w:uiPriority w:val="1"/>
    <w:rsid w:val="009E3900"/>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9E3900"/>
    <w:rPr>
      <w:rFonts w:ascii="Calibri" w:hAnsi="Calibri"/>
      <w:b/>
      <w:color w:val="202653" w:themeColor="accent5"/>
      <w:szCs w:val="38"/>
    </w:rPr>
  </w:style>
  <w:style w:type="character" w:customStyle="1" w:styleId="Cmsor3Char">
    <w:name w:val="Címsor 3 Char"/>
    <w:basedOn w:val="Bekezdsalapbettpusa"/>
    <w:link w:val="Cmsor3"/>
    <w:uiPriority w:val="1"/>
    <w:rsid w:val="009E3900"/>
    <w:rPr>
      <w:rFonts w:ascii="Calibri" w:hAnsi="Calibri"/>
      <w:bCs/>
      <w:color w:val="202653" w:themeColor="accent5"/>
      <w:szCs w:val="34"/>
    </w:rPr>
  </w:style>
  <w:style w:type="paragraph" w:styleId="Cm">
    <w:name w:val="Title"/>
    <w:basedOn w:val="Norml"/>
    <w:next w:val="Norml"/>
    <w:link w:val="CmChar"/>
    <w:uiPriority w:val="3"/>
    <w:qFormat/>
    <w:rsid w:val="009E3900"/>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9E3900"/>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9E3900"/>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9E3900"/>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9E3900"/>
    <w:rPr>
      <w:rFonts w:ascii="Calibri" w:eastAsiaTheme="majorEastAsia" w:hAnsi="Calibri" w:cstheme="majorBidi"/>
      <w:i/>
      <w:iCs/>
      <w:color w:val="404040" w:themeColor="text1" w:themeTint="BF"/>
      <w:szCs w:val="20"/>
    </w:rPr>
  </w:style>
  <w:style w:type="numbering" w:customStyle="1" w:styleId="Style1">
    <w:name w:val="Style1"/>
    <w:uiPriority w:val="99"/>
    <w:rsid w:val="009E3900"/>
    <w:pPr>
      <w:numPr>
        <w:numId w:val="1"/>
      </w:numPr>
    </w:pPr>
  </w:style>
  <w:style w:type="paragraph" w:styleId="TJ7">
    <w:name w:val="toc 7"/>
    <w:basedOn w:val="Norml"/>
    <w:next w:val="Norml"/>
    <w:autoRedefine/>
    <w:uiPriority w:val="99"/>
    <w:semiHidden/>
    <w:locked/>
    <w:rsid w:val="009E3900"/>
    <w:pPr>
      <w:spacing w:after="100"/>
      <w:ind w:left="1200"/>
    </w:pPr>
    <w:rPr>
      <w:color w:val="295A7E" w:themeColor="accent6" w:themeShade="80"/>
    </w:rPr>
  </w:style>
  <w:style w:type="paragraph" w:styleId="TJ8">
    <w:name w:val="toc 8"/>
    <w:basedOn w:val="Norml"/>
    <w:next w:val="Norml"/>
    <w:autoRedefine/>
    <w:uiPriority w:val="99"/>
    <w:semiHidden/>
    <w:locked/>
    <w:rsid w:val="009E3900"/>
    <w:pPr>
      <w:spacing w:after="100"/>
      <w:ind w:left="1400"/>
    </w:pPr>
    <w:rPr>
      <w:color w:val="295A7E" w:themeColor="accent6" w:themeShade="80"/>
    </w:rPr>
  </w:style>
  <w:style w:type="paragraph" w:styleId="TJ9">
    <w:name w:val="toc 9"/>
    <w:basedOn w:val="Norml"/>
    <w:next w:val="Norml"/>
    <w:autoRedefine/>
    <w:uiPriority w:val="99"/>
    <w:semiHidden/>
    <w:locked/>
    <w:rsid w:val="009E3900"/>
    <w:pPr>
      <w:spacing w:after="100"/>
      <w:ind w:left="1600"/>
    </w:pPr>
    <w:rPr>
      <w:color w:val="295A7E" w:themeColor="accent6" w:themeShade="80"/>
    </w:rPr>
  </w:style>
  <w:style w:type="table" w:customStyle="1" w:styleId="Calendar2">
    <w:name w:val="Calendar 2"/>
    <w:basedOn w:val="Normltblzat"/>
    <w:uiPriority w:val="99"/>
    <w:qFormat/>
    <w:rsid w:val="009E3900"/>
    <w:pPr>
      <w:jc w:val="center"/>
    </w:pPr>
    <w:rPr>
      <w:rFonts w:eastAsiaTheme="minorEastAsia"/>
      <w:szCs w:val="28"/>
      <w:lang w:val="en-US" w:eastAsia="en-US" w:bidi="en-US"/>
    </w:rPr>
    <w:tblPr>
      <w:tblInd w:w="0" w:type="dxa"/>
      <w:tblBorders>
        <w:insideV w:val="single" w:sz="4" w:space="0" w:color="D7A85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9E3900"/>
    <w:rPr>
      <w:rFonts w:eastAsiaTheme="minorEastAsia"/>
      <w:color w:val="898D8D" w:themeColor="text2"/>
      <w:sz w:val="16"/>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9E3900"/>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9E390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E3900"/>
    <w:rPr>
      <w:rFonts w:eastAsiaTheme="minorEastAsia"/>
      <w:color w:val="5E4415" w:themeColor="accent1" w:themeShade="BF"/>
      <w:lang w:eastAsia="en-US"/>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9E3900"/>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9E3900"/>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9E3900"/>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9E3900"/>
    <w:rPr>
      <w:color w:val="5E4415" w:themeColor="accent1" w:themeShade="BF"/>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9E3900"/>
    <w:pPr>
      <w:numPr>
        <w:numId w:val="5"/>
      </w:numPr>
    </w:pPr>
  </w:style>
  <w:style w:type="paragraph" w:customStyle="1" w:styleId="Tblaszvegstlus">
    <w:name w:val="Tábla szöveg stílus"/>
    <w:basedOn w:val="Norml"/>
    <w:link w:val="TblaszvegstlusChar"/>
    <w:uiPriority w:val="8"/>
    <w:qFormat/>
    <w:rsid w:val="009E3900"/>
  </w:style>
  <w:style w:type="character" w:customStyle="1" w:styleId="ListaszerbekezdsChar">
    <w:name w:val="Listaszerű bekezdés Char"/>
    <w:basedOn w:val="Bekezdsalapbettpusa"/>
    <w:link w:val="Listaszerbekezds"/>
    <w:uiPriority w:val="4"/>
    <w:rsid w:val="009E3900"/>
    <w:rPr>
      <w:rFonts w:ascii="Calibri" w:hAnsi="Calibri"/>
    </w:rPr>
  </w:style>
  <w:style w:type="character" w:customStyle="1" w:styleId="Listaszerbekezds2Char">
    <w:name w:val="Listaszerű bekezdés 2 Char"/>
    <w:basedOn w:val="ListaszerbekezdsChar"/>
    <w:link w:val="Listaszerbekezds2"/>
    <w:uiPriority w:val="4"/>
    <w:rsid w:val="009E3900"/>
    <w:rPr>
      <w:rFonts w:ascii="Calibri" w:hAnsi="Calibri"/>
    </w:rPr>
  </w:style>
  <w:style w:type="character" w:customStyle="1" w:styleId="TblaszvegstlusChar">
    <w:name w:val="Tábla szöveg stílus Char"/>
    <w:basedOn w:val="Bekezdsalapbettpusa"/>
    <w:link w:val="Tblaszvegstlus"/>
    <w:uiPriority w:val="8"/>
    <w:rsid w:val="009E3900"/>
    <w:rPr>
      <w:rFonts w:ascii="Calibri" w:hAnsi="Calibri"/>
    </w:rPr>
  </w:style>
  <w:style w:type="character" w:styleId="Finomhivatkozs">
    <w:name w:val="Subtle Reference"/>
    <w:basedOn w:val="Bekezdsalapbettpusa"/>
    <w:uiPriority w:val="31"/>
    <w:rsid w:val="009E3900"/>
    <w:rPr>
      <w:sz w:val="24"/>
      <w:szCs w:val="24"/>
      <w:u w:val="single"/>
    </w:rPr>
  </w:style>
  <w:style w:type="character" w:styleId="Ershivatkozs">
    <w:name w:val="Intense Reference"/>
    <w:basedOn w:val="Bekezdsalapbettpusa"/>
    <w:uiPriority w:val="32"/>
    <w:rsid w:val="009E3900"/>
    <w:rPr>
      <w:b/>
      <w:sz w:val="24"/>
      <w:u w:val="single"/>
    </w:rPr>
  </w:style>
  <w:style w:type="paragraph" w:customStyle="1" w:styleId="Listaszerbekezds2szint">
    <w:name w:val="Listaszerű bekezdés 2. szint"/>
    <w:basedOn w:val="Listaszerbekezds"/>
    <w:link w:val="Listaszerbekezds2szintChar"/>
    <w:uiPriority w:val="4"/>
    <w:qFormat/>
    <w:rsid w:val="009E3900"/>
    <w:pPr>
      <w:numPr>
        <w:numId w:val="8"/>
      </w:numPr>
    </w:pPr>
  </w:style>
  <w:style w:type="paragraph" w:customStyle="1" w:styleId="Listaszerbekezds3szint">
    <w:name w:val="Listaszerű bekezdés 3. szint"/>
    <w:basedOn w:val="Listaszerbekezds"/>
    <w:link w:val="Listaszerbekezds3szintChar"/>
    <w:uiPriority w:val="4"/>
    <w:qFormat/>
    <w:rsid w:val="009E3900"/>
    <w:pPr>
      <w:numPr>
        <w:ilvl w:val="2"/>
      </w:numPr>
    </w:pPr>
  </w:style>
  <w:style w:type="character" w:customStyle="1" w:styleId="Listaszerbekezds2szintChar">
    <w:name w:val="Listaszerű bekezdés 2. szint Char"/>
    <w:basedOn w:val="ListaszerbekezdsChar"/>
    <w:link w:val="Listaszerbekezds2szint"/>
    <w:uiPriority w:val="4"/>
    <w:rsid w:val="009E3900"/>
    <w:rPr>
      <w:rFonts w:ascii="Calibri" w:hAnsi="Calibri"/>
    </w:rPr>
  </w:style>
  <w:style w:type="character" w:customStyle="1" w:styleId="Listaszerbekezds3szintChar">
    <w:name w:val="Listaszerű bekezdés 3. szint Char"/>
    <w:basedOn w:val="ListaszerbekezdsChar"/>
    <w:link w:val="Listaszerbekezds3szint"/>
    <w:uiPriority w:val="4"/>
    <w:rsid w:val="009E3900"/>
    <w:rPr>
      <w:rFonts w:ascii="Calibri" w:hAnsi="Calibri"/>
    </w:rPr>
  </w:style>
  <w:style w:type="paragraph" w:styleId="Alcm">
    <w:name w:val="Subtitle"/>
    <w:basedOn w:val="Norml"/>
    <w:next w:val="Norml"/>
    <w:link w:val="AlcmChar"/>
    <w:uiPriority w:val="11"/>
    <w:rsid w:val="009E3900"/>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9E3900"/>
    <w:rPr>
      <w:rFonts w:ascii="Calibri" w:eastAsiaTheme="majorEastAsia" w:hAnsi="Calibri" w:cstheme="majorBidi"/>
    </w:rPr>
  </w:style>
  <w:style w:type="paragraph" w:customStyle="1" w:styleId="Listabetvel">
    <w:name w:val="Lista betűvel"/>
    <w:basedOn w:val="Listaszerbekezds"/>
    <w:link w:val="ListabetvelChar"/>
    <w:uiPriority w:val="4"/>
    <w:qFormat/>
    <w:rsid w:val="009E3900"/>
    <w:pPr>
      <w:numPr>
        <w:numId w:val="7"/>
      </w:numPr>
    </w:pPr>
  </w:style>
  <w:style w:type="character" w:customStyle="1" w:styleId="ListabetvelChar">
    <w:name w:val="Lista betűvel Char"/>
    <w:basedOn w:val="ListaszerbekezdsChar"/>
    <w:link w:val="Listabetvel"/>
    <w:uiPriority w:val="4"/>
    <w:rsid w:val="009E3900"/>
    <w:rPr>
      <w:rFonts w:ascii="Calibri" w:hAnsi="Calibri"/>
    </w:rPr>
  </w:style>
  <w:style w:type="paragraph" w:customStyle="1" w:styleId="Erskiemels">
    <w:name w:val="Erős kiemelés"/>
    <w:basedOn w:val="Norml"/>
    <w:link w:val="ErskiemelsChar"/>
    <w:uiPriority w:val="5"/>
    <w:qFormat/>
    <w:rsid w:val="009E3900"/>
    <w:rPr>
      <w:b/>
      <w:i/>
    </w:rPr>
  </w:style>
  <w:style w:type="character" w:customStyle="1" w:styleId="ErskiemelsChar">
    <w:name w:val="Erős kiemelés Char"/>
    <w:basedOn w:val="Bekezdsalapbettpusa"/>
    <w:link w:val="Erskiemels"/>
    <w:uiPriority w:val="5"/>
    <w:rsid w:val="009E3900"/>
    <w:rPr>
      <w:rFonts w:ascii="Calibri" w:hAnsi="Calibri"/>
      <w:b/>
      <w:i/>
    </w:rPr>
  </w:style>
  <w:style w:type="paragraph" w:customStyle="1" w:styleId="Bold">
    <w:name w:val="Bold"/>
    <w:basedOn w:val="Norml"/>
    <w:link w:val="BoldChar"/>
    <w:uiPriority w:val="6"/>
    <w:qFormat/>
    <w:rsid w:val="009E3900"/>
    <w:rPr>
      <w:b/>
    </w:rPr>
  </w:style>
  <w:style w:type="character" w:customStyle="1" w:styleId="BoldChar">
    <w:name w:val="Bold Char"/>
    <w:basedOn w:val="Bekezdsalapbettpusa"/>
    <w:link w:val="Bold"/>
    <w:uiPriority w:val="6"/>
    <w:rsid w:val="009E3900"/>
    <w:rPr>
      <w:rFonts w:ascii="Calibri" w:hAnsi="Calibri"/>
      <w:b/>
    </w:rPr>
  </w:style>
  <w:style w:type="character" w:styleId="Mrltotthiperhivatkozs">
    <w:name w:val="FollowedHyperlink"/>
    <w:basedOn w:val="Bekezdsalapbettpusa"/>
    <w:uiPriority w:val="99"/>
    <w:semiHidden/>
    <w:unhideWhenUsed/>
    <w:rsid w:val="009E3900"/>
    <w:rPr>
      <w:color w:val="7BAFD4" w:themeColor="followedHyperlink"/>
      <w:u w:val="single"/>
    </w:rPr>
  </w:style>
  <w:style w:type="paragraph" w:styleId="Tartalomjegyzkcmsora">
    <w:name w:val="TOC Heading"/>
    <w:basedOn w:val="Cmsor1"/>
    <w:next w:val="Norml"/>
    <w:uiPriority w:val="39"/>
    <w:unhideWhenUsed/>
    <w:qFormat/>
    <w:rsid w:val="009E3900"/>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9E3900"/>
    <w:pPr>
      <w:spacing w:after="100"/>
      <w:ind w:left="220"/>
      <w:jc w:val="left"/>
    </w:pPr>
    <w:rPr>
      <w:rFonts w:eastAsiaTheme="minorEastAsia"/>
    </w:rPr>
  </w:style>
  <w:style w:type="paragraph" w:styleId="TJ1">
    <w:name w:val="toc 1"/>
    <w:basedOn w:val="Norml"/>
    <w:next w:val="Norml"/>
    <w:autoRedefine/>
    <w:uiPriority w:val="39"/>
    <w:unhideWhenUsed/>
    <w:qFormat/>
    <w:locked/>
    <w:rsid w:val="009E3900"/>
    <w:pPr>
      <w:spacing w:after="100"/>
      <w:jc w:val="left"/>
    </w:pPr>
    <w:rPr>
      <w:rFonts w:eastAsiaTheme="minorEastAsia"/>
    </w:rPr>
  </w:style>
  <w:style w:type="paragraph" w:styleId="TJ3">
    <w:name w:val="toc 3"/>
    <w:basedOn w:val="Norml"/>
    <w:next w:val="Norml"/>
    <w:uiPriority w:val="39"/>
    <w:unhideWhenUsed/>
    <w:qFormat/>
    <w:locked/>
    <w:rsid w:val="009E3900"/>
    <w:pPr>
      <w:spacing w:after="100"/>
      <w:ind w:left="400"/>
    </w:pPr>
  </w:style>
  <w:style w:type="paragraph" w:customStyle="1" w:styleId="StyleTOC2Left015">
    <w:name w:val="Style TOC 2 + Left:  0.15&quot;"/>
    <w:basedOn w:val="TJ2"/>
    <w:rsid w:val="009E3900"/>
    <w:pPr>
      <w:ind w:left="216"/>
    </w:pPr>
    <w:rPr>
      <w:rFonts w:eastAsia="Times New Roman" w:cs="Times New Roman"/>
      <w:szCs w:val="20"/>
    </w:rPr>
  </w:style>
  <w:style w:type="paragraph" w:customStyle="1" w:styleId="StyleTOC3Left031">
    <w:name w:val="Style TOC 3 + Left:  0.31&quot;"/>
    <w:basedOn w:val="TJ3"/>
    <w:rsid w:val="009E3900"/>
    <w:pPr>
      <w:ind w:left="446"/>
    </w:pPr>
    <w:rPr>
      <w:rFonts w:eastAsia="Times New Roman" w:cs="Times New Roman"/>
      <w:szCs w:val="20"/>
    </w:rPr>
  </w:style>
  <w:style w:type="numbering" w:customStyle="1" w:styleId="Hierarchikuslista">
    <w:name w:val="Hierarchikus lista"/>
    <w:uiPriority w:val="99"/>
    <w:rsid w:val="009E3900"/>
    <w:pPr>
      <w:numPr>
        <w:numId w:val="2"/>
      </w:numPr>
    </w:pPr>
  </w:style>
  <w:style w:type="paragraph" w:customStyle="1" w:styleId="HierarchikusLista0">
    <w:name w:val="Hierarchikus Lista"/>
    <w:basedOn w:val="Listaszerbekezds"/>
    <w:link w:val="HierarchikusListaChar"/>
    <w:qFormat/>
    <w:rsid w:val="009E3900"/>
    <w:pPr>
      <w:numPr>
        <w:numId w:val="0"/>
      </w:numPr>
    </w:pPr>
  </w:style>
  <w:style w:type="character" w:customStyle="1" w:styleId="HierarchikusListaChar">
    <w:name w:val="Hierarchikus Lista Char"/>
    <w:basedOn w:val="ListaszerbekezdsChar"/>
    <w:link w:val="HierarchikusLista0"/>
    <w:rsid w:val="009E3900"/>
    <w:rPr>
      <w:rFonts w:ascii="Calibri" w:hAnsi="Calibri"/>
    </w:rPr>
  </w:style>
  <w:style w:type="character" w:styleId="Kiemels2">
    <w:name w:val="Strong"/>
    <w:basedOn w:val="Bekezdsalapbettpusa"/>
    <w:uiPriority w:val="22"/>
    <w:rsid w:val="009E3900"/>
    <w:rPr>
      <w:b/>
      <w:bCs/>
    </w:rPr>
  </w:style>
  <w:style w:type="character" w:styleId="Kiemels">
    <w:name w:val="Emphasis"/>
    <w:basedOn w:val="Bekezdsalapbettpusa"/>
    <w:uiPriority w:val="6"/>
    <w:qFormat/>
    <w:rsid w:val="009E3900"/>
    <w:rPr>
      <w:i/>
      <w:iCs/>
    </w:rPr>
  </w:style>
  <w:style w:type="paragraph" w:styleId="Nincstrkz">
    <w:name w:val="No Spacing"/>
    <w:basedOn w:val="Norml"/>
    <w:uiPriority w:val="1"/>
    <w:rsid w:val="009E3900"/>
    <w:rPr>
      <w:szCs w:val="32"/>
    </w:rPr>
  </w:style>
  <w:style w:type="paragraph" w:styleId="Idzet">
    <w:name w:val="Quote"/>
    <w:basedOn w:val="Norml"/>
    <w:next w:val="Norml"/>
    <w:link w:val="IdzetChar"/>
    <w:uiPriority w:val="29"/>
    <w:rsid w:val="009E3900"/>
    <w:rPr>
      <w:i/>
    </w:rPr>
  </w:style>
  <w:style w:type="character" w:customStyle="1" w:styleId="IdzetChar">
    <w:name w:val="Idézet Char"/>
    <w:basedOn w:val="Bekezdsalapbettpusa"/>
    <w:link w:val="Idzet"/>
    <w:uiPriority w:val="29"/>
    <w:rsid w:val="009E3900"/>
    <w:rPr>
      <w:rFonts w:ascii="Calibri" w:hAnsi="Calibri"/>
      <w:i/>
    </w:rPr>
  </w:style>
  <w:style w:type="paragraph" w:styleId="Kiemeltidzet">
    <w:name w:val="Intense Quote"/>
    <w:basedOn w:val="Norml"/>
    <w:next w:val="Norml"/>
    <w:link w:val="KiemeltidzetChar"/>
    <w:uiPriority w:val="30"/>
    <w:rsid w:val="009E3900"/>
    <w:pPr>
      <w:ind w:left="720" w:right="720"/>
    </w:pPr>
    <w:rPr>
      <w:b/>
      <w:i/>
    </w:rPr>
  </w:style>
  <w:style w:type="character" w:customStyle="1" w:styleId="KiemeltidzetChar">
    <w:name w:val="Kiemelt idézet Char"/>
    <w:basedOn w:val="Bekezdsalapbettpusa"/>
    <w:link w:val="Kiemeltidzet"/>
    <w:uiPriority w:val="30"/>
    <w:rsid w:val="009E3900"/>
    <w:rPr>
      <w:rFonts w:ascii="Calibri" w:hAnsi="Calibri"/>
      <w:b/>
      <w:i/>
    </w:rPr>
  </w:style>
  <w:style w:type="character" w:styleId="Ershangslyozs">
    <w:name w:val="Intense Emphasis"/>
    <w:basedOn w:val="Bekezdsalapbettpusa"/>
    <w:uiPriority w:val="21"/>
    <w:rsid w:val="009E3900"/>
    <w:rPr>
      <w:b/>
      <w:i/>
      <w:sz w:val="24"/>
      <w:szCs w:val="24"/>
      <w:u w:val="single"/>
    </w:rPr>
  </w:style>
  <w:style w:type="character" w:styleId="Knyvcme">
    <w:name w:val="Book Title"/>
    <w:basedOn w:val="Bekezdsalapbettpusa"/>
    <w:uiPriority w:val="33"/>
    <w:rsid w:val="009E3900"/>
    <w:rPr>
      <w:rFonts w:ascii="Calibri" w:eastAsiaTheme="majorEastAsia" w:hAnsi="Calibri"/>
      <w:b/>
      <w:i/>
      <w:sz w:val="24"/>
      <w:szCs w:val="24"/>
    </w:rPr>
  </w:style>
  <w:style w:type="paragraph" w:customStyle="1" w:styleId="Szvegdobozstlus">
    <w:name w:val="Szövegdoboz stílus"/>
    <w:basedOn w:val="HierarchikusLista0"/>
    <w:qFormat/>
    <w:rsid w:val="009E3900"/>
    <w:rPr>
      <w:b/>
      <w:i/>
      <w:color w:val="7E5C1D" w:themeColor="accent1"/>
    </w:rPr>
  </w:style>
  <w:style w:type="table" w:customStyle="1" w:styleId="Rcsos">
    <w:name w:val="Rácsos"/>
    <w:basedOn w:val="Normltblzat"/>
    <w:uiPriority w:val="99"/>
    <w:rsid w:val="009E3900"/>
    <w:rPr>
      <w:rFonts w:asciiTheme="majorHAnsi" w:hAnsiTheme="majorHAnsi"/>
      <w:color w:val="202653" w:themeColor="accent5"/>
    </w:rPr>
    <w:tblPr>
      <w:tblStyleRowBandSize w:val="1"/>
      <w:tblStyleColBandSize w:val="1"/>
      <w:tblInd w:w="0" w:type="dxa"/>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basedOn w:val="Bekezdsalapbettpusa"/>
    <w:rsid w:val="00AD45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714B3CC-DE70-4A3B-9801-77005646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3000</Words>
  <Characters>21238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Bátorfi Melinda dr.</dc:creator>
  <cp:lastModifiedBy>Baranyai László</cp:lastModifiedBy>
  <cp:revision>3</cp:revision>
  <cp:lastPrinted>1900-12-31T23:00:00Z</cp:lastPrinted>
  <dcterms:created xsi:type="dcterms:W3CDTF">2014-06-05T07:55:00Z</dcterms:created>
  <dcterms:modified xsi:type="dcterms:W3CDTF">2014-06-05T08:06:00Z</dcterms:modified>
</cp:coreProperties>
</file>